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21.09.2026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29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отдельные приказы Департамента труда и занятости населения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целях совершенствования нормативных правовых актов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ПРИКАЗЫВАЮ: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 Внести в приказ Департамента труда и занятости населения Томской области от 17.06.2022 № 36 «Об утверждении административного регламента предоставления Департаментом труда и занятости населения Томской области государственной услуги «Проведение государс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твенной экспертизы условий труда» (Официальный интернет-портал правовой информации (www.pravo.gov.ru), 22.06.2022, № 7001202206220006) следующие изменения: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Административном регламенте предоставления Департаментом труда и занятости населения Томской области государственной услуги «Проведение государственной экспертизы условий труда», утвержденном указанным приказом: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дополнить пунктом 26-1 следующего содержания: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«26-1. В целях повышения доступности предоставления государственной услуги Департамент организует предоставление государственной услуги инвалидам (с учетом их потребности) по месту жительства или месту пребывания (при необходимости).»;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850"/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абзац первый пункта 39 признать утратившим силу;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пункты 41-44 признать утратившими силу;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пункты 45-46 признать утратившими силу;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дополнить пунктами 46-1 – 46-2 следующего содержания: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«46-1. Получение государственной услуги в МФЦ осуществляется </w:t>
        <w:br/>
        <w:t xml:space="preserve"> в соответствии с соглашением, заключенными между МФЦ и Департаментом, со дня вступления в силу такого соглашения о взаимодействии.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МФЦ, в котором организуется предоставление государственной услуги, </w:t>
        <w:br/>
        <w:t xml:space="preserve"> не может принять решение об отказе в приеме заявления и документов, необходимых для предоставления государственной услуги. 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46-2. Государственная услуга предусматривает возможность выдачи заявителю результата предоставления государственной услуги в МФЦ.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Возможность выдачи заявителю документов на бумажном носителе, подтверждающих содержание электронных документов, направленных в МФЦ по результатам предоставления государственной услуги Департаментом, а также выдачи документов, включая составление на бумажно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 носителе и заверение выписок из информационных систем органов, предоставляющих государственные услуги, не предусмотрена.».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2. Внести в приказ Департамента труда и занятости населения Томской области от 11.10.2019 № 47 «Об утверждении Административного регламента предоставления государственной услуги «Уведомительная регистрация коллективных договоров, соглашений» (Официальный 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нтернет-портал правовой информации (www.pravo.gov.ru), 15.10.2019, №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7001201910150001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) следующие изменения: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Административном </w:t>
      </w:r>
      <w:hyperlink r:id="rId9" w:tooltip="https://login.consultant.ru/link/?req=doc&amp;base=RLAW091&amp;n=135268&amp;dst=100017" w:history="1">
        <w:r>
          <w:rPr>
            <w:rStyle w:val="Hyperlink"/>
            <w:rFonts w:ascii="PT Astra Serif" w:hAnsi="PT Astra Serif" w:eastAsia="PT Astra Serif" w:cs="PT Astra Serif"/>
            <w:color w:val="000000"/>
            <w:sz w:val="28"/>
            <w:szCs w:val="28"/>
            <w:u w:val="none"/>
          </w:rPr>
          <w:t xml:space="preserve">регламенте</w:t>
        </w:r>
      </w:hyperlink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предоставления государственной услуги «Уведомительная регистрация коллективных договоров, соглашений», утвержденном указанным приказом:</w:t>
      </w:r>
    </w:p>
    <w:p>
      <w:pPr>
        <w:numPr>
          <w:numId w:val="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абзац первый пункта 3 изложить в следующей редакции: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«3. Информация о месте нахождения, адресе и графике работы Департамента, номерах справочных телефонов и адресе электронной почты размещается на официальном сайте Департамента в информационно-телекоммуникационной сети «Интернет» (далее – официальный сайт Де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партамента), в федеральной государственной информационной системе «Федеральный реестр государственных и муниципальных услуг» (далее – Федеральный реестр) и федеральной государственной информационной системе «Единый портал государственных и муниципальных ус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луг (функций)» (далее - Единый портал).»;</w:t>
      </w:r>
    </w:p>
    <w:p>
      <w:pPr>
        <w:numPr>
          <w:numId w:val="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дополнить пунктом 16-2 следующего содержания: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«16-2. В целях повышения доступности предоставления государственной услуги Департамент организует предоставление государственной услуги инвалидам (с учетом их потребности) по месту жительства или месту пребывания (при необходимости).»;</w:t>
      </w:r>
    </w:p>
    <w:p>
      <w:pPr>
        <w:numPr>
          <w:numId w:val="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 26 изложить в следующей редакции: 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«26. 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Департамента, а также на Едином портале.»;</w:t>
      </w:r>
    </w:p>
    <w:p>
      <w:pPr>
        <w:numPr>
          <w:numId w:val="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 27 изложить в следующей редакции: 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«27. Сведения о показателях доступности и качества государственной услуги размещаются на официальном сайте Департамента, а также на Едином портале.»;</w:t>
      </w:r>
    </w:p>
    <w:p>
      <w:pPr>
        <w:numPr>
          <w:numId w:val="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 28 признать утратившим силу;</w:t>
      </w:r>
    </w:p>
    <w:p>
      <w:pPr>
        <w:numPr>
          <w:numId w:val="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850"/>
          <w:tab w:val="left" w:pos="992"/>
          <w:tab w:val="left" w:pos="1134"/>
          <w:tab w:val="left" w:pos="1276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дополнить пунктами 28-1 – 28-2 следующего содержания: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tabs>
          <w:tab w:val="left" w:pos="1276"/>
          <w:tab w:val="left" w:pos="1417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«28-1. Получение государственной услуги в МФЦ осуществляется </w:t>
        <w:br/>
        <w:t xml:space="preserve"> в соответствии с соглашением, заключенными между МФЦ и Департаментом, со дня вступления в силу такого соглашения о взаимодействии.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МФЦ, в котором организуется предоставление государственной услуги, </w:t>
        <w:br/>
        <w:t xml:space="preserve"> не может принять решение об отказе в приеме заявления и документов, необходимых для предоставления государственной услуги. 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28-2. Государственная услуга предусматривает возможность выдачи заявителю результата предоставления государственной услуги в МФЦ.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Возможность выдачи заявителю документов на бумажном носителе, подтверждающих содержание электронных документов, направленных в МФЦ по результатам предоставления государственной услуги Департаментом, а также выдачи документов, включая составление на бумажно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 носителе и заверение выписок из информационных систем органов, предоставляющих государственные услуги, не предусмотрена.».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afterAutospacing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3. Внести в приказ Департамента труда и занятости населения Томской области от 20.12.2021 № 31 «Об утверждении Административного регламента предоставления Департаментом труда и занятости населения Томской области государственной услуги «Оценка качества ока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зания общественно полезных услуг социально ориентированными некоммерческими организациями» (Официальный интернет-портал правовой информации (www.pravo.gov.ru), 21.12.2021, № 7001202112210066) следующие изменения: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afterAutospacing="0" w:line="240" w:lineRule="auto"/>
        <w:ind w:left="0" w:right="0" w:firstLine="709"/>
        <w:contextualSpacing w:val="0"/>
        <w:jc w:val="both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Административном регламенте предоставления Департаментом труда и занятости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организациями», утвержденном указа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нным приказом: </w:t>
      </w:r>
    </w:p>
    <w:p>
      <w:pPr>
        <w:pStyle w:val="ListParagraph"/>
        <w:numPr>
          <w:numId w:val="6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  <w:tab w:val="left" w:pos="1276"/>
        </w:tabs>
        <w:spacing w:before="0" w:after="0" w:afterAutospacing="0" w:line="240" w:lineRule="auto"/>
        <w:ind w:left="0" w:right="0" w:firstLine="709"/>
        <w:contextualSpacing w:val="0"/>
        <w:jc w:val="both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пункте 5 слова «, информационных стендах в помещениях Департамента» исключить;</w:t>
      </w:r>
    </w:p>
    <w:p>
      <w:pPr>
        <w:pStyle w:val="ListParagraph"/>
        <w:numPr>
          <w:numId w:val="6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709"/>
          <w:tab w:val="left" w:pos="850"/>
          <w:tab w:val="left" w:pos="992"/>
        </w:tabs>
        <w:spacing w:before="0" w:after="0" w:afterAutospacing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дополнить пунктом 16-1 следующего содержания: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afterAutospacing="0" w:line="240" w:lineRule="auto"/>
        <w:ind w:left="0" w:right="0" w:firstLine="709"/>
        <w:contextualSpacing w:val="0"/>
        <w:jc w:val="both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«16-1. В целях повышения доступности предоставления государственной услуги Департамент организует предоставление государственно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й услуги инвалидам (с учетом их потребности) по месту жительства или месту пребывания (при необходимости).»;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afterAutospacing="0" w:line="240" w:lineRule="auto"/>
        <w:ind w:left="0" w:right="0" w:firstLine="709"/>
        <w:contextualSpacing w:val="0"/>
        <w:jc w:val="both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3)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 27 изложить в следующей редакции: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afterAutospacing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«27. Сведения о требованиях, которым должны соответствовать помещения, в которых предоставляется государственная услуга, размещаются на официальном сайте Департамента, а также на Едином портале.»;</w:t>
      </w:r>
    </w:p>
    <w:p>
      <w:pPr>
        <w:numPr>
          <w:numId w:val="3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пункты 28-29 признать утратившими силу.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4. Внести в приказ Департамента труда и занятости населения Томской области от 20.12.2019 № 56 «Об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регистрации коллективных договоров» (Официальный интернет-портал правовой информации (www.pravo.gov.ru), 23.12.2019,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№ 7001201912230061) следующие изменения: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Административном регламенте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договоров, утвержденном указанным приказом:</w:t>
      </w:r>
    </w:p>
    <w:p>
      <w:pPr>
        <w:numPr>
          <w:numId w:val="4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  <w:tab w:val="left" w:pos="9213"/>
          <w:tab w:val="left" w:pos="9638"/>
        </w:tabs>
        <w:spacing w:before="0" w:after="0" w:line="240" w:lineRule="auto"/>
        <w:ind w:left="0" w:right="0" w:firstLine="709"/>
        <w:contextualSpacing w:val="0"/>
        <w:jc w:val="both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абзаце третьем пункта 16-1 слово «Департамент» заменить словами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«органом местного самоуправления»;</w:t>
      </w:r>
    </w:p>
    <w:p>
      <w:pPr>
        <w:numPr>
          <w:numId w:val="4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наименование подраздела «Максимальный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в много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функциональный центр» изложить в следующей редакции: «Максимальный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нно в орган местного самоуправления или в многофункциональный центр»; </w:t>
      </w:r>
    </w:p>
    <w:p>
      <w:pPr>
        <w:numPr>
          <w:numId w:val="4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 26 изложить в следующей редакции: 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«26. 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органа местного самоуправления, а также на Едином портале.»;</w:t>
      </w:r>
    </w:p>
    <w:p>
      <w:pPr>
        <w:numPr>
          <w:numId w:val="4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  <w:tab w:val="left" w:pos="1276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 27 изложить в следующей редакции: 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«27. Сведения о показателях доступности и качества государственной услуги размещаются на официальном сайте органа местного самоуправления, а также на Едином портале.»;</w:t>
      </w:r>
    </w:p>
    <w:p>
      <w:pPr>
        <w:numPr>
          <w:numId w:val="4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850"/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 28 признать утратившим силу;</w:t>
      </w:r>
    </w:p>
    <w:p>
      <w:pPr>
        <w:numPr>
          <w:numId w:val="4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after="0" w:line="240" w:lineRule="auto"/>
        <w:ind w:left="0" w:right="0" w:firstLine="709"/>
        <w:contextualSpacing w:val="0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подпункте «д» пункта 74 слово «Департамент» заменить словами «органом местного самоуправления».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 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А.Б. Гомозова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pBdr>
          <w:right w:val="none"/>
        </w:pBdr>
        <w:tabs>
          <w:tab w:val="left" w:pos="567"/>
          <w:tab w:val="left" w:pos="709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>
      <w:headerReference w:type="default" r:id="rId7"/>
      <w:headerReference w:type="first" r:id="rId8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bCs w:val="0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труда и занятости населения</w:t>
    </w:r>
    <w:r>
      <w:rPr>
        <w:rFonts w:ascii="PT Astra Serif" w:hAnsi="PT Astra Serif" w:eastAsia="PT Astra Serif" w:cs="PT Astra Serif"/>
        <w:sz w:val="30"/>
        <w:szCs w:val="30"/>
      </w:rPr>
      <w:t xml:space="preserve">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)"/>
      <w:lvlJc w:val="left"/>
      <w:pPr>
        <w:ind w:left="1430" w:hanging="360"/>
      </w:pPr>
    </w:lvl>
    <w:lvl w:ilvl="1">
      <w:start w:val="1"/>
      <w:numFmt w:val="lowerLetter"/>
      <w:lvlText w:val="%2."/>
      <w:lvlJc w:val="left"/>
      <w:pPr>
        <w:ind w:left="2150" w:hanging="360"/>
      </w:pPr>
    </w:lvl>
    <w:lvl w:ilvl="2">
      <w:start w:val="1"/>
      <w:numFmt w:val="lowerRoman"/>
      <w:lvlText w:val="%3."/>
      <w:lvlJc w:val="right"/>
      <w:pPr>
        <w:ind w:left="2870" w:hanging="180"/>
      </w:pPr>
    </w:lvl>
    <w:lvl w:ilvl="3">
      <w:start w:val="1"/>
      <w:numFmt w:val="decimal"/>
      <w:lvlText w:val="%4."/>
      <w:lvlJc w:val="left"/>
      <w:pPr>
        <w:ind w:left="3590" w:hanging="360"/>
      </w:pPr>
    </w:lvl>
    <w:lvl w:ilvl="4">
      <w:start w:val="1"/>
      <w:numFmt w:val="lowerLetter"/>
      <w:lvlText w:val="%5."/>
      <w:lvlJc w:val="left"/>
      <w:pPr>
        <w:ind w:left="4310" w:hanging="360"/>
      </w:pPr>
    </w:lvl>
    <w:lvl w:ilvl="5">
      <w:start w:val="1"/>
      <w:numFmt w:val="lowerRoman"/>
      <w:lvlText w:val="%6."/>
      <w:lvlJc w:val="right"/>
      <w:pPr>
        <w:ind w:left="5030" w:hanging="180"/>
      </w:pPr>
    </w:lvl>
    <w:lvl w:ilvl="6">
      <w:start w:val="1"/>
      <w:numFmt w:val="decimal"/>
      <w:lvlText w:val="%7."/>
      <w:lvlJc w:val="left"/>
      <w:pPr>
        <w:ind w:left="5750" w:hanging="360"/>
      </w:pPr>
    </w:lvl>
    <w:lvl w:ilvl="7">
      <w:start w:val="1"/>
      <w:numFmt w:val="lowerLetter"/>
      <w:lvlText w:val="%8."/>
      <w:lvlJc w:val="left"/>
      <w:pPr>
        <w:ind w:left="6470" w:hanging="360"/>
      </w:pPr>
    </w:lvl>
    <w:lvl w:ilvl="8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1417" w:hanging="360"/>
      </w:pPr>
    </w:lvl>
    <w:lvl w:ilvl="1">
      <w:start w:val="1"/>
      <w:numFmt w:val="lowerLetter"/>
      <w:lvlText w:val="%2."/>
      <w:lvlJc w:val="left"/>
      <w:pPr>
        <w:ind w:left="2137" w:hanging="360"/>
      </w:pPr>
    </w:lvl>
    <w:lvl w:ilvl="2">
      <w:start w:val="1"/>
      <w:numFmt w:val="lowerRoman"/>
      <w:lvlText w:val="%3."/>
      <w:lvlJc w:val="right"/>
      <w:pPr>
        <w:ind w:left="2857" w:hanging="180"/>
      </w:pPr>
    </w:lvl>
    <w:lvl w:ilvl="3">
      <w:start w:val="1"/>
      <w:numFmt w:val="decimal"/>
      <w:lvlText w:val="%4."/>
      <w:lvlJc w:val="left"/>
      <w:pPr>
        <w:ind w:left="3577" w:hanging="360"/>
      </w:pPr>
    </w:lvl>
    <w:lvl w:ilvl="4">
      <w:start w:val="1"/>
      <w:numFmt w:val="lowerLetter"/>
      <w:lvlText w:val="%5."/>
      <w:lvlJc w:val="left"/>
      <w:pPr>
        <w:ind w:left="4297" w:hanging="360"/>
      </w:pPr>
    </w:lvl>
    <w:lvl w:ilvl="5">
      <w:start w:val="1"/>
      <w:numFmt w:val="lowerRoman"/>
      <w:lvlText w:val="%6."/>
      <w:lvlJc w:val="right"/>
      <w:pPr>
        <w:ind w:left="5017" w:hanging="180"/>
      </w:pPr>
    </w:lvl>
    <w:lvl w:ilvl="6">
      <w:start w:val="1"/>
      <w:numFmt w:val="decimal"/>
      <w:lvlText w:val="%7."/>
      <w:lvlJc w:val="left"/>
      <w:pPr>
        <w:ind w:left="5737" w:hanging="360"/>
      </w:pPr>
    </w:lvl>
    <w:lvl w:ilvl="7">
      <w:start w:val="1"/>
      <w:numFmt w:val="lowerLetter"/>
      <w:lvlText w:val="%8."/>
      <w:lvlJc w:val="left"/>
      <w:pPr>
        <w:ind w:left="6457" w:hanging="360"/>
      </w:pPr>
    </w:lvl>
    <w:lvl w:ilvl="8">
      <w:start w:val="1"/>
      <w:numFmt w:val="lowerRoman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1417" w:hanging="360"/>
      </w:pPr>
    </w:lvl>
    <w:lvl w:ilvl="1">
      <w:start w:val="1"/>
      <w:numFmt w:val="lowerLetter"/>
      <w:lvlText w:val="%2."/>
      <w:lvlJc w:val="left"/>
      <w:pPr>
        <w:ind w:left="2137" w:hanging="360"/>
      </w:pPr>
    </w:lvl>
    <w:lvl w:ilvl="2">
      <w:start w:val="1"/>
      <w:numFmt w:val="lowerRoman"/>
      <w:lvlText w:val="%3."/>
      <w:lvlJc w:val="right"/>
      <w:pPr>
        <w:ind w:left="2857" w:hanging="180"/>
      </w:pPr>
    </w:lvl>
    <w:lvl w:ilvl="3">
      <w:start w:val="1"/>
      <w:numFmt w:val="decimal"/>
      <w:lvlText w:val="%4."/>
      <w:lvlJc w:val="left"/>
      <w:pPr>
        <w:ind w:left="3577" w:hanging="360"/>
      </w:pPr>
    </w:lvl>
    <w:lvl w:ilvl="4">
      <w:start w:val="1"/>
      <w:numFmt w:val="lowerLetter"/>
      <w:lvlText w:val="%5."/>
      <w:lvlJc w:val="left"/>
      <w:pPr>
        <w:ind w:left="4297" w:hanging="360"/>
      </w:pPr>
    </w:lvl>
    <w:lvl w:ilvl="5">
      <w:start w:val="1"/>
      <w:numFmt w:val="lowerRoman"/>
      <w:lvlText w:val="%6."/>
      <w:lvlJc w:val="right"/>
      <w:pPr>
        <w:ind w:left="5017" w:hanging="180"/>
      </w:pPr>
    </w:lvl>
    <w:lvl w:ilvl="6">
      <w:start w:val="1"/>
      <w:numFmt w:val="decimal"/>
      <w:lvlText w:val="%7."/>
      <w:lvlJc w:val="left"/>
      <w:pPr>
        <w:ind w:left="5737" w:hanging="360"/>
      </w:pPr>
    </w:lvl>
    <w:lvl w:ilvl="7">
      <w:start w:val="1"/>
      <w:numFmt w:val="lowerLetter"/>
      <w:lvlText w:val="%8."/>
      <w:lvlJc w:val="left"/>
      <w:pPr>
        <w:ind w:left="6457" w:hanging="360"/>
      </w:pPr>
    </w:lvl>
    <w:lvl w:ilvl="8">
      <w:start w:val="1"/>
      <w:numFmt w:val="lowerRoman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character" w:styleId="QuoteChar" w:customStyle="1">
    <w:name w:val="Quote Char"/>
    <w:link w:val="Quote"/>
    <w:uiPriority w:val="29"/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0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1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2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8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styleId="a9" w:customStyle="1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yperlink" Target="https://login.consultant.ru/link/?req=doc&amp;base=RLAW091&amp;n=135268&amp;dst=100017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4</cp:revision>
  <dcterms:created xsi:type="dcterms:W3CDTF">2023-07-12T03:10:00Z</dcterms:created>
  <dcterms:modified xsi:type="dcterms:W3CDTF">2026-09-16T05:03:09Z</dcterms:modified>
</cp:coreProperties>
</file>