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>
          <w:tblW w:w="9639" w:type="dxa"/>
          <w:tblBorders>
            <w:bottom w:val="single" w:color="000000" w:sz="4" w:space="0"/>
          </w:tblBorders>
          <w:tblLayout w:type="fixed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700" w:type="dxa"/>
            <w:tcBorders>
              <w:bottom w:val="none"/>
            </w:tcBorders>
          </w:tcPr>
          <w:bookmarkStart w:id="0" w:name="undefined"/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13.04.2026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bookmarkEnd w:id="0"/>
        <w:tc>
          <w:tcPr>
            <w:tcW w:w="5669" w:type="dxa"/>
            <w:tcBorders>
              <w:bottom w:val="none"/>
            </w:tcBorders>
            <w:tcMar>
              <w:left w:w="0" w:type="dxa"/>
              <w:top w:w="0" w:type="dxa"/>
              <w:right w:w="85" w:type="dxa"/>
              <w:bottom w:w="0" w:type="dxa"/>
            </w:tcMar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/>
            </w:tcBorders>
          </w:tcPr>
          <w:p>
            <w:pPr>
              <w:pStyle w:val="BodyText2"/>
              <w:pBdr>
                <w:top w:val="none"/>
                <w:left w:val="none"/>
                <w:bottom w:val="none"/>
                <w:right w:val="none"/>
                <w:between w:val="none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t xml:space="preserve">09</w: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труда и занятости населения Томской области от 01.03.2022 № 2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spacing w:line="283" w:lineRule="atLeast"/>
        <w:ind w:firstLine="708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 целях совершенствования нормативного правового акта</w:t>
      </w:r>
    </w:p>
    <w:p>
      <w:pPr>
        <w:spacing w:line="283" w:lineRule="atLeast"/>
        <w:ind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ПРИКАЗЫВАЮ:</w:t>
      </w:r>
    </w:p>
    <w:p>
      <w:pPr>
        <w:spacing w:line="283" w:lineRule="atLeast"/>
        <w:ind w:firstLine="709"/>
        <w:jc w:val="both"/>
        <w:rPr>
          <w:rFonts w:ascii="PT Astra Serif" w:hAnsi="PT Astra Serif" w:eastAsia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1. 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Внести в приказ Департамента труда и занятости населения Томской области от 01.03.2022 № 2 «Об утверждении формы проверочного листа, используемого должностными лицами Департамента труда и занятости населения Томской области при осуществлении регионального государственного контроля (надзора) за приемом на работу инвалидов в пределах установленной квоты» («Официальный интернет-портал правовой информации» (www.pravo.gov.ru), 01.03.2022, № 7001202203010002) изменение, изложив форму проверочного листа, утвержденную указанным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 приказом, в новой редакции согласно приложению к настоящему приказу.</w:t>
      </w:r>
    </w:p>
    <w:p>
      <w:pPr>
        <w:spacing w:line="283" w:lineRule="atLeast"/>
        <w:ind w:firstLine="709"/>
        <w:jc w:val="both"/>
        <w:rPr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2. Настоящий приказ вступает в силу со дня его официального опубликования.</w:t>
      </w: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blPrEx>
          <w:tblW w:w="9639" w:type="dxa"/>
          <w:tblLayout w:type="fixed"/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3831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>
            <w:pPr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</w:rPr>
            </w:pP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А.Б. </w:t>
            </w:r>
            <w:r>
              <w:rPr>
                <w:rFonts w:ascii="PT Astra Serif" w:hAnsi="PT Astra Serif" w:eastAsia="Calibri"/>
                <w:sz w:val="28"/>
                <w:szCs w:val="26"/>
                <w:lang w:eastAsia="en-US"/>
              </w:rPr>
              <w:t xml:space="preserve">Гомозова</w:t>
            </w:r>
          </w:p>
        </w:tc>
      </w:tr>
    </w:tbl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pBdr>
          <w:right w:val="none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</w:p>
    <w:p>
      <w:pPr>
        <w:ind w:left="5669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Приложение</w:t>
      </w:r>
    </w:p>
    <w:p>
      <w:pPr>
        <w:ind w:left="5669"/>
        <w:rPr>
          <w:rFonts w:ascii="PT Astra Serif" w:hAnsi="PT Astra Serif" w:eastAsia="PT Astra Serif" w:cs="PT Astra Serif"/>
          <w:sz w:val="28"/>
          <w:szCs w:val="26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к приказу </w:t>
      </w:r>
      <w:r>
        <w:rPr>
          <w:rFonts w:ascii="PT Astra Serif" w:hAnsi="PT Astra Serif" w:eastAsia="PT Astra Serif" w:cs="PT Astra Serif"/>
          <w:sz w:val="28"/>
          <w:szCs w:val="26"/>
        </w:rPr>
        <w:t xml:space="preserve">Департамента труда и занятости населения </w:t>
      </w:r>
    </w:p>
    <w:p>
      <w:pPr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6"/>
        </w:rPr>
        <w:t xml:space="preserve">Томской области</w:t>
      </w:r>
    </w:p>
    <w:p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от</w:t>
      </w:r>
      <w:r>
        <w:rPr>
          <w:rFonts w:ascii="PT Astra Serif" w:hAnsi="PT Astra Serif" w:cs="PT Astra Serif"/>
          <w:color w:val="000000"/>
          <w:sz w:val="28"/>
          <w:szCs w:val="28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13.04.2026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№</w:t>
      </w:r>
      <w:r>
        <w:rPr>
          <w:rFonts w:ascii="PT Astra Serif" w:hAnsi="PT Astra Serif" w:cs="PT Astra Serif"/>
          <w:color w:val="000000"/>
          <w:sz w:val="28"/>
          <w:szCs w:val="28"/>
        </w:rPr>
        <w:t xml:space="preserve"> 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t xml:space="preserve">09</w: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hAnsi="PT Astra Serif" w:eastAsia="PT Astra Serif" w:cs="PT Astra Serif"/>
          <w:color w:val="000000"/>
          <w:sz w:val="28"/>
          <w:szCs w:val="28"/>
        </w:rPr>
        <w:fldChar w:fldCharType="end"/>
      </w:r>
    </w:p>
    <w:p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  <w:tblLook w:val="04A0" w:firstRow="1" w:lastRow="0" w:firstColumn="1" w:lastColumn="0" w:noHBand="0" w:noVBand="1"/>
      </w:tblPr>
      <w:tblGrid>
        <w:gridCol w:w="5570"/>
        <w:gridCol w:w="4317"/>
      </w:tblGrid>
      <w:tr>
        <w:tblPrEx>
          <w:tblW w:w="0" w:type="auto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ayout w:type="fixed"/>
          <w:tblLook w:val="04A0" w:firstRow="1" w:lastRow="0" w:firstColumn="1" w:lastColumn="0" w:noHBand="0" w:noVBand="1"/>
        </w:tblPrEx>
        <w:tc>
          <w:tcPr>
            <w:tcW w:w="557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 </w:t>
            </w:r>
          </w:p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Форма</w:t>
            </w:r>
          </w:p>
        </w:tc>
        <w:tc>
          <w:tcPr>
            <w:tcW w:w="4317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cMar>
              <w:left w:w="108" w:type="dxa"/>
              <w:top w:w="0" w:type="dxa"/>
              <w:right w:w="108" w:type="dxa"/>
              <w:bottom w:w="0" w:type="dxa"/>
            </w:tcMar>
          </w:tcPr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 </w:t>
            </w:r>
          </w:p>
          <w:p>
            <w:pPr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 </w:t>
            </w:r>
          </w:p>
          <w:p>
            <w:pPr>
              <w:jc w:val="right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2"/>
              </w:rPr>
              <w:t xml:space="preserve">QR-код</w:t>
            </w:r>
          </w:p>
        </w:tc>
      </w:tr>
    </w:tbl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 </w:t>
      </w: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ПРОВЕРОЧНЫЙ ЛИСТ</w:t>
      </w: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 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Региональный государственный контроль (надзор) за приемом на работу инвалидов в пределах установленной квоты.</w:t>
      </w:r>
      <w:r>
        <w:rPr>
          <w:rFonts w:ascii="PT Astra Serif" w:hAnsi="PT Astra Serif" w:eastAsia="PT Astra Serif" w:cs="PT Astra Serif"/>
          <w:color w:val="000000"/>
          <w:sz w:val="26"/>
          <w:highlight w:val="yellow"/>
        </w:rPr>
        <w:t xml:space="preserve">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Департамент труда и занятости населения Томской области. </w:t>
      </w:r>
    </w:p>
    <w:p>
      <w:pPr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Форма проверочного листа утверждена приказом Департамента труда и занятости населения Томской области от 01.03.2022 № 2 «Об утверждении формы проверочного листа, используемого должностными лицами Департамента труда и занятости населения Томской области при осуществлении регионального государственного контроля (надзора) за приемом на работу инвалидов в пределах установленной квоты».</w:t>
      </w:r>
    </w:p>
    <w:p>
      <w:pPr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 </w:t>
      </w:r>
    </w:p>
    <w:p>
      <w:pPr>
        <w:jc w:val="center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Список контрольных вопросов, ответы на которые свидетельствуют о соблюдении или несоблюдении контролируемым лицом обязательных требований</w:t>
      </w:r>
    </w:p>
    <w:p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360"/>
        <w:gridCol w:w="471"/>
        <w:gridCol w:w="564"/>
        <w:gridCol w:w="6"/>
        <w:gridCol w:w="702"/>
        <w:gridCol w:w="694"/>
        <w:gridCol w:w="3240"/>
      </w:tblGrid>
      <w:tr>
        <w:trPr>
          <w:trHeight w:val="941"/>
          <w:tblHeader/>
        </w:trPr>
        <w:tblPrEx>
          <w:tblW w:w="5000" w:type="pct"/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vMerge w:val="restart"/>
            <w:tcBorders>
              <w:bottom w:val="none"/>
            </w:tcBorders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/п</w:t>
            </w:r>
          </w:p>
        </w:tc>
        <w:tc>
          <w:tcPr>
            <w:tcW w:w="1705" w:type="pct"/>
            <w:vMerge w:val="restart"/>
            <w:tcBorders>
              <w:bottom w:val="none"/>
            </w:tcBorders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Контрольные вопросы, </w:t>
            </w:r>
          </w:p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отражающие содержание обязательных требований, ответы на которые свидетельствуют о соблюдении или несоблюдении контролируемым лицом обязательных требований</w:t>
            </w:r>
          </w:p>
        </w:tc>
        <w:tc>
          <w:tcPr>
            <w:tcW w:w="1236" w:type="pct"/>
            <w:gridSpan w:val="5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Ответы на вопросы</w:t>
            </w:r>
          </w:p>
        </w:tc>
        <w:tc>
          <w:tcPr>
            <w:tcW w:w="1645" w:type="pct"/>
            <w:vMerge w:val="restar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Реквизиты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регионального государственного контроля (надзора) за приемом на работу инвалидов в пределах установленной квоты</w:t>
            </w:r>
          </w:p>
        </w:tc>
      </w:tr>
      <w:tr>
        <w:trPr>
          <w:trHeight w:val="2257"/>
          <w:tblHeader/>
        </w:trP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vMerge w:val="continue"/>
            <w:tcBorders>
              <w:bottom w:val="none"/>
            </w:tcBorders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705" w:type="pct"/>
            <w:vMerge w:val="continue"/>
            <w:tcBorders>
              <w:bottom w:val="none"/>
            </w:tcBorders>
            <w:shd w:val="clear" w:color="auto" w:fill="auto"/>
          </w:tcPr>
          <w:p>
            <w:pPr>
              <w:pStyle w:val="ConsPlusTitle"/>
              <w:widowControl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да</w:t>
            </w: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нет</w:t>
            </w: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не</w:t>
            </w:r>
          </w:p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при</w:t>
            </w:r>
          </w:p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ме</w:t>
            </w:r>
          </w:p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ни</w:t>
            </w:r>
          </w:p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мо</w:t>
            </w: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при</w:t>
            </w:r>
          </w:p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ме</w:t>
            </w:r>
          </w:p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ча</w:t>
            </w:r>
          </w:p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ние</w:t>
            </w:r>
          </w:p>
        </w:tc>
        <w:tc>
          <w:tcPr>
            <w:tcW w:w="1645" w:type="pct"/>
            <w:vMerge w:val="continue"/>
            <w:tcBorders>
              <w:bottom w:val="none"/>
            </w:tcBorders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1.</w:t>
            </w:r>
          </w:p>
        </w:tc>
        <w:tc>
          <w:tcPr>
            <w:tcW w:w="4585" w:type="pct"/>
            <w:gridSpan w:val="7"/>
            <w:shd w:val="clear" w:color="auto" w:fill="auto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Квота для приема на работу инвалидов установлена в размере двух процентов и определена: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1.1.</w:t>
            </w:r>
          </w:p>
        </w:tc>
        <w:tc>
          <w:tcPr>
            <w:tcW w:w="1705" w:type="pct"/>
            <w:shd w:val="clear" w:color="auto" w:fill="auto"/>
          </w:tcPr>
          <w:p>
            <w:pPr>
              <w:pStyle w:val="NormalWeb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исходя из среднесписочной численности работников работодателя за предыдущий квартал без учета работников представительств, филиалов и иных обособленных структурных подразделений работодателя, расположенных в других субъектах Российской Федерации</w:t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части 1 и 3 статьи 38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565-ФЗ «О занятости населения в Российской Федерации»;</w:t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часть 1 статьи 21-1 Закона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 xml:space="preserve">от 10 сентября 2003 года № 109-ОЗ «О социальной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поддержке инвалидов в Томской области»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1.2.</w:t>
            </w:r>
          </w:p>
        </w:tc>
        <w:tc>
          <w:tcPr>
            <w:tcW w:w="1705" w:type="pct"/>
            <w:shd w:val="clear" w:color="auto" w:fill="auto"/>
          </w:tcPr>
          <w:p>
            <w:pPr>
              <w:pStyle w:val="NormalWeb"/>
              <w:spacing w:before="0" w:beforeAutospacing="0" w:after="0" w:afterAutospacing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представительств</w:t>
            </w:r>
            <w:r>
              <w:rPr>
                <w:rFonts w:ascii="PT Astra Serif" w:hAnsi="PT Astra Serif"/>
              </w:rPr>
              <w:t xml:space="preserve">ам</w:t>
            </w:r>
            <w:r>
              <w:rPr>
                <w:rFonts w:ascii="PT Astra Serif" w:hAnsi="PT Astra Serif"/>
              </w:rPr>
              <w:t xml:space="preserve">, филиал</w:t>
            </w:r>
            <w:r>
              <w:rPr>
                <w:rFonts w:ascii="PT Astra Serif" w:hAnsi="PT Astra Serif"/>
              </w:rPr>
              <w:t xml:space="preserve">ам</w:t>
            </w:r>
            <w:r>
              <w:rPr>
                <w:rFonts w:ascii="PT Astra Serif" w:hAnsi="PT Astra Serif"/>
              </w:rPr>
              <w:t xml:space="preserve"> и ины</w:t>
            </w:r>
            <w:r>
              <w:rPr>
                <w:rFonts w:ascii="PT Astra Serif" w:hAnsi="PT Astra Serif"/>
              </w:rPr>
              <w:t xml:space="preserve">м</w:t>
            </w:r>
            <w:r>
              <w:rPr>
                <w:rFonts w:ascii="PT Astra Serif" w:hAnsi="PT Astra Serif"/>
              </w:rPr>
              <w:t xml:space="preserve"> обособленны</w:t>
            </w:r>
            <w:r>
              <w:rPr>
                <w:rFonts w:ascii="PT Astra Serif" w:hAnsi="PT Astra Serif"/>
              </w:rPr>
              <w:t xml:space="preserve">м</w:t>
            </w:r>
            <w:r>
              <w:rPr>
                <w:rFonts w:ascii="PT Astra Serif" w:hAnsi="PT Astra Serif"/>
              </w:rPr>
              <w:t xml:space="preserve"> структурны</w:t>
            </w:r>
            <w:r>
              <w:rPr>
                <w:rFonts w:ascii="PT Astra Serif" w:hAnsi="PT Astra Serif"/>
              </w:rPr>
              <w:t xml:space="preserve">м</w:t>
            </w:r>
            <w:r>
              <w:rPr>
                <w:rFonts w:ascii="PT Astra Serif" w:hAnsi="PT Astra Serif"/>
              </w:rPr>
              <w:t xml:space="preserve"> подразделени</w:t>
            </w:r>
            <w:r>
              <w:rPr>
                <w:rFonts w:ascii="PT Astra Serif" w:hAnsi="PT Astra Serif"/>
              </w:rPr>
              <w:t xml:space="preserve">ям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работодателя в соответствии с </w:t>
            </w:r>
            <w:r>
              <w:t xml:space="preserve">законодательством субъект</w:t>
            </w:r>
            <w:r>
              <w:t xml:space="preserve">а</w:t>
            </w:r>
            <w:r>
              <w:t xml:space="preserve"> Российской Федерации, на территори</w:t>
            </w:r>
            <w:r>
              <w:t xml:space="preserve">и</w:t>
            </w:r>
            <w:r>
              <w:t xml:space="preserve"> котор</w:t>
            </w:r>
            <w:r>
              <w:t xml:space="preserve">ой они расположены, </w:t>
            </w:r>
            <w:r>
              <w:rPr>
                <w:rFonts w:ascii="PT Astra Serif" w:hAnsi="PT Astra Serif"/>
              </w:rPr>
              <w:t xml:space="preserve">исходя из среднесписочной численности работников представительств, филиалов и иных обособленных структурных подразделений работодателя за предыдущий квартал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части 1 и 4 статьи 38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565-ФЗ «О занятости населения в Российской Федерации»;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часть 2 статьи 21-1 Закона Томской области от 10 сентября 2003 года № 109-ОЗ «О социальной поддержке инвалидов в Томской области»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2.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исчислении квоты для приема на работу инвалидов в среднесписочную численность работников не включены  работники, условия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труда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на рабочих местах которых отнесены к вредным и (или) опасным условиям труда по результатам специальной оценки условий труда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часть 5 статьи 38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565-ФЗ «О занятости населения в Российской Федерации»</w:t>
            </w:r>
          </w:p>
          <w:p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3.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Количество выделенных рабочих мест для трудоустройства инвалидов соответствует установленной квоте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статья 38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от 12 декабря 2023 года № 565-ФЗ «О занятости населения в Российской Федерации»;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части 1 и 2 статьи 21-1 Закона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от 10 сентября 2003 года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№ 109-ОЗ «О социальной поддержке инвалидов в Томской области»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4.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Выполнение работодателем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установленной квоты для приема на работу инвалидов обеспечено в соответствии с порядком, установленным Правительством Российской Федерации</w:t>
            </w:r>
          </w:p>
          <w:p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часть 6 статьи 38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565-ФЗ «О занятости населения в Российской Федерации»;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постановление Правительства Российской Федерации от 30.05.2024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709 «О порядке выполнения работодателями квоты для приема на работу инвалидов»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(вместе с «Правилами выполнения работодателем квоты для приема на работу инвалидов», «Правилами заключения соглашения о трудоустройстве инвалидов») (далее – Постановление № 709)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5.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Численность работников, которые должны быть трудоустроены в целях исполнения квоты, рассчитывается работодателем ежеквартально, до 10-го числа месяца, следующего за отчетным кварталом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абзац первый пункта 2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квоты для приема на работу инвалидов, утвержденных Постановлением № 709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6.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расчете численности работников для приема на работу инвалидов округление дробного числа производится в сторону уменьшения до целого значения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абзац второй пункта 2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квоты для приема на работу инвалидов, утвержденных Постановлением № 709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7.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расчете численности работников для приема на работу инвалидов, в случае если размер рассчитанной квоты менее единицы,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значение квоты принимается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равным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единице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абзац второй пункта 2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квоты для приема на работу инвалидов, утвержденных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Постановлением № 709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8.</w:t>
            </w:r>
          </w:p>
        </w:tc>
        <w:tc>
          <w:tcPr>
            <w:tcW w:w="4585" w:type="pct"/>
            <w:gridSpan w:val="7"/>
            <w:shd w:val="clear" w:color="auto" w:fill="auto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Выполнение работодателем установленной квоты обеспечено в случаях наличия: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8.1.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заключенного трудового договора с инвалидом на рабочее место непосредственно у работодателя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а) пункта 3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квоты для приема на работу инвалидов, утвержденных Постановлением № 709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8.2.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заключенного трудового договора с инвалидом I группы (исполнение квоты считается кратным 2 рабочим местам для трудоустройства инвалидов)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а) пункта 3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квоты для приема на работу инвалидов, утвержденных Постановлением № 709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8.3.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заключенного трудового договора с инвалидом из числа участников ветеранов боевых действий, принимавших участие в специальной военной операции (исполнение квоты считается кратным 2 рабочим местам для трудоустройства инвалидов)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а) пункта 3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квоты для приема на работу инвалидов, утвержденных Постановлением № 709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8.4.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заключенного трудового договора между инвалидом и иной организацией, включая общественные объединения инвалидов и образованные ими организации, в том числе хозяйственные товарищества и общества, уставный (складочный) капитал которых состоит из вклада общественного объединения инвалидов (далее - иная организация), заключившей соглашение о трудоустройстве инвалида с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работодателем, которому установлена квота (далее – соглашение)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б) пункта 3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квоты для приема на работу инвалидов, утвержденных Постановлением № 709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8.5.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заключенного трудового договора между инвалидом и индивидуальным предпринимателем, заключившим соглашение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в) пункта 3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квоты для приема на работу инвалидов, утвержденных Постановлением № 709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8.6.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договора возмездного оказания услуг или иного договора с организацией, обеспечивающей для группы организаций выполнение квоты посредством заключения соглашения с иной организацией или индивидуальным предпринимателем, заключенного трудового договора между инвалидом и иной организацией, индивидуальным предпринимателем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г) пункта 3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квоты для приема на работу инвалидов, утвержденных Постановлением № 709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9.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Соглашение заключено в соответствии с Правилами заключения соглашения о трудоустройстве инвалидов, утвержденными Постановлением № 709 (при наличии)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часть 8 статьи 38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565-ФЗ «О занятости населения в Российской Федерации»;</w:t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постановление Правительства Российской Федерации от 30.05.2024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709 «О порядке выполнения работодателями квоты для приема на работу инвалидов»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10.</w:t>
            </w:r>
          </w:p>
        </w:tc>
        <w:tc>
          <w:tcPr>
            <w:tcW w:w="4585" w:type="pct"/>
            <w:gridSpan w:val="7"/>
            <w:shd w:val="clear" w:color="auto" w:fill="auto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Работодатель освобожден от выполнения установленной квоты: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10.1.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случае если работодатели являются общественными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объединениями инвалидов и образованными ими организациями, в том числе хозяйственными товариществами и обществами, уставный (складочный) капитал которых состоит из вклада общественного объединения инвалидов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1) части 9 статьи 38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от 12 декабря 2023 года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565-ФЗ «О занятости населения в Российской Федерации»;</w:t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а) пункта 4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квоты для приема на работу инвалидов, утвержденных Постановлением № 709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10.2.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признании несостоятельным (банкротом) и открытии конкурсного производства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2) части 9 статьи 38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565-ФЗ «О занятости населения в Российской Федерации»;</w:t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б) пункта 4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квоты для приема на работу инвалидов, утвержденных Постановлением № 709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10.3.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уменьшении численности работников до числа работников, при котором квота не устанавливается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2) части 9 статьи 38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565-ФЗ «О занятости населения в Российской Федерации»;</w:t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в) пункта 4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квоты для приема на работу инвалидов, утвержденных Постановлением № 709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10.4.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 отсутствии на учете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государственных учреждениях службы занятости безработных инвалидов, инвалидов, зарегистрированных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качестве ищущих работу соответствующих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профессионально-квалификационным требованиям к вакансиям, заявленным работодателем, либо при отсутствии в субъекте Российской Федерации, где находится работодатель, иных организаций или индивидуальных предпринимателей, готовых заключить соглашение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2) части 9 статьи 38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от 12 декабря 2023 года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№ 565-ФЗ «О занятости населения в Российской Федерации»;</w:t>
            </w:r>
          </w:p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подпункт г) пункта 4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Правил выполнения работодателем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квоты для приема на работу инвалидов, утвержденных Постановлением № 709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11.</w:t>
            </w:r>
          </w:p>
        </w:tc>
        <w:tc>
          <w:tcPr>
            <w:tcW w:w="170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Arial" w:cs="PT Astra Serif"/>
                <w:sz w:val="24"/>
                <w:szCs w:val="24"/>
                <w:lang w:eastAsia="en-US"/>
              </w:rPr>
              <w:t xml:space="preserve">Оснащено (оборудовано) специальное рабочее место для трудоустройства инвалида с учетом нарушенных функций инвалида и ограничений его жизнедеятельности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статья 39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Федерального закона от 12 декабря 2023 года № 565-ФЗ «О занятости населения в Российской Федерации»;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часть 3 статьи 21-1 Закона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 xml:space="preserve">от 10 сентября 2003 года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 xml:space="preserve">№ 109-ОЗ «О социальной поддержке инвалидов в Томской области»;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постановление Администрации Томской области от 09.06.2011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 169а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«Об утверждении количества специальных рабочих мест для трудоустройства инвалидов»</w:t>
            </w:r>
          </w:p>
        </w:tc>
      </w:tr>
      <w:tr>
        <w:trPr>
          <w:trHeight w:val="206"/>
        </w:trP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12.</w:t>
            </w:r>
          </w:p>
        </w:tc>
        <w:tc>
          <w:tcPr>
            <w:tcW w:w="4585" w:type="pct"/>
            <w:gridSpan w:val="7"/>
            <w:shd w:val="clear" w:color="auto" w:fill="auto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Информация о выполнении квоты для приема на работу инвалидов</w:t>
            </w:r>
          </w:p>
        </w:tc>
      </w:tr>
      <w:tr>
        <w:trPr>
          <w:trHeight w:val="1975"/>
        </w:trP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12.1.</w:t>
            </w:r>
          </w:p>
        </w:tc>
        <w:tc>
          <w:tcPr>
            <w:tcW w:w="1705" w:type="pct"/>
            <w:shd w:val="clear" w:color="auto" w:fill="auto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предоставляется ежемесячно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  <w:t xml:space="preserve">не позднее 10-го числа месяца, следующего за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отчетным</w:t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часть 7 статьи 53 Федерального Закона Российской Федерации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 xml:space="preserve">от 12 декабря 2023 года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№ 565-ФЗ «О занятости населения в Российской Федерации»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12.2.</w:t>
            </w:r>
          </w:p>
        </w:tc>
        <w:tc>
          <w:tcPr>
            <w:tcW w:w="1705" w:type="pct"/>
            <w:shd w:val="clear" w:color="auto" w:fill="auto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предоставляется по форме,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утвержденной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сфере занятости населения</w:t>
            </w:r>
          </w:p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часть 9 статьи 53 </w:t>
            </w: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Федерального Закона Российской Федерации </w:t>
            </w:r>
            <w:r>
              <w:rPr>
                <w:rFonts w:ascii="PT Astra Serif" w:hAnsi="PT Astra Serif"/>
                <w:b w:val="0"/>
                <w:sz w:val="24"/>
                <w:szCs w:val="24"/>
              </w:rPr>
              <w:br/>
              <w:t xml:space="preserve">от 12 декабря 2023 года </w:t>
            </w:r>
            <w:r>
              <w:rPr>
                <w:rFonts w:ascii="PT Astra Serif" w:hAnsi="PT Astra Serif"/>
                <w:b w:val="0"/>
                <w:sz w:val="24"/>
                <w:szCs w:val="24"/>
              </w:rPr>
              <w:br/>
              <w:t xml:space="preserve">№ 565-ФЗ «О занятости населения в Российской Федерации»;</w:t>
            </w:r>
          </w:p>
          <w:p>
            <w:pPr>
              <w:pBdr>
                <w:top w:val="none"/>
                <w:left w:val="none"/>
                <w:bottom w:val="none"/>
                <w:right w:val="none"/>
                <w:between w:val="none"/>
              </w:pBd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приказ Министерства труда и социальной защиты Российской Федерации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от 16.04.2024 № 195н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«Об утверждении форм предоставления работодателями обязательной информации, предусмотренной частью </w:t>
            </w:r>
            <w:r>
              <w:rPr>
                <w:rFonts w:ascii="PT Astra Serif" w:hAnsi="PT Astra Serif" w:cs="PT Astra Serif"/>
                <w:sz w:val="24"/>
                <w:szCs w:val="24"/>
              </w:rPr>
              <w:br/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1 статьи 53 Федерального закона «О занятости населения в Российской Федерации», в государственную службу занятости»</w:t>
            </w:r>
          </w:p>
        </w:tc>
      </w:tr>
      <w:tr>
        <w:tblPrEx>
          <w:tblW w:w="5000" w:type="pct"/>
          <w:tblLayout w:type="fixed"/>
          <w:tblLook w:val="04A0" w:firstRow="1" w:lastRow="0" w:firstColumn="1" w:lastColumn="0" w:noHBand="0" w:noVBand="1"/>
        </w:tblPrEx>
        <w:tc>
          <w:tcPr>
            <w:tcW w:w="415" w:type="pct"/>
            <w:shd w:val="clear" w:color="auto" w:fill="auto"/>
          </w:tcPr>
          <w:p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4"/>
                <w:szCs w:val="24"/>
              </w:rPr>
            </w:pPr>
            <w:r>
              <w:rPr>
                <w:rFonts w:ascii="PT Astra Serif" w:hAnsi="PT Astra Serif"/>
                <w:b w:val="0"/>
                <w:sz w:val="24"/>
                <w:szCs w:val="24"/>
              </w:rPr>
              <w:t xml:space="preserve">12.3.</w:t>
            </w:r>
          </w:p>
        </w:tc>
        <w:tc>
          <w:tcPr>
            <w:tcW w:w="1705" w:type="pct"/>
            <w:shd w:val="clear" w:color="auto" w:fill="auto"/>
          </w:tcPr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предоставляется посредством размещения информации на единой цифровой платформе в сфере занятости и трудовых отношений «Работа в России»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https://trudvsem.ru/ (далее – ЕЦП) или на иных информационных ресурсах, на которых может размещаться такая информация в соответствии с порядком, утвержденным Правительством Российской Федерации</w:t>
            </w:r>
          </w:p>
        </w:tc>
        <w:tc>
          <w:tcPr>
            <w:tcW w:w="239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286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9" w:type="pct"/>
            <w:gridSpan w:val="2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351" w:type="pct"/>
            <w:shd w:val="clear" w:color="auto" w:fill="auto"/>
          </w:tcPr>
          <w:p>
            <w:pPr>
              <w:pStyle w:val="ConsPlusTitle"/>
              <w:widowControl/>
              <w:jc w:val="both"/>
              <w:rPr>
                <w:rFonts w:ascii="PT Astra Serif" w:hAnsi="PT Astra Serif"/>
                <w:b w:val="0"/>
                <w:sz w:val="24"/>
                <w:szCs w:val="24"/>
              </w:rPr>
            </w:pPr>
          </w:p>
        </w:tc>
        <w:tc>
          <w:tcPr>
            <w:tcW w:w="1645" w:type="pct"/>
            <w:shd w:val="clear" w:color="auto" w:fill="auto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часть 2 статьи 53 Федерального Закона Российской Федерации от 12 декабря 2023 года </w:t>
            </w:r>
            <w:r>
              <w:rPr>
                <w:rFonts w:ascii="PT Astra Serif" w:hAnsi="PT Astra Serif"/>
                <w:sz w:val="24"/>
                <w:szCs w:val="24"/>
              </w:rPr>
              <w:br/>
              <w:t xml:space="preserve">№ 565-ФЗ «О занятости населения в Российской Федерации»</w:t>
            </w:r>
          </w:p>
        </w:tc>
      </w:tr>
    </w:tbl>
    <w:p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bookmarkStart w:id="1" w:name="_GoBack"/>
      <w:bookmarkEnd w:id="1"/>
    </w:p>
    <w:p>
      <w:pPr>
        <w:spacing w:line="283" w:lineRule="atLeast"/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1. Вид контрольного (надзорного) мероприятия: __________________________.</w:t>
      </w:r>
    </w:p>
    <w:p>
      <w:pPr>
        <w:spacing w:line="283" w:lineRule="atLeast"/>
        <w:ind w:firstLine="709"/>
        <w:jc w:val="both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2. Дата заполнения проверочного листа:_________________________________.</w:t>
      </w:r>
    </w:p>
    <w:p>
      <w:pPr>
        <w:spacing w:line="283" w:lineRule="atLeast"/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3. Учетный номер контрольного (надзорного) мероприятия в Едином реестре контрольных (надзорных) мероприятий: ______________________________________.</w:t>
      </w:r>
    </w:p>
    <w:p>
      <w:pPr>
        <w:spacing w:line="283" w:lineRule="atLeast"/>
        <w:ind w:firstLine="709"/>
        <w:jc w:val="both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4. Место проведения контрольного (надзорного) мероприятия с заполнением проверочного листа (ссылка на ВКС, МП ИНСПЕКТОР): _________________________________________________________________________.</w:t>
      </w:r>
    </w:p>
    <w:p>
      <w:pPr>
        <w:spacing w:line="283" w:lineRule="atLeast"/>
        <w:ind w:firstLine="709"/>
        <w:jc w:val="both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5. Фамилия, имя и отчество (при наличии) индивидуального предпринимателя, его идентификационный номер налогоплательщика и основной государственный регистрационный номер индивидуального предпринимателя, адрес регистрации индивидуального предпринимателя;</w:t>
      </w:r>
    </w:p>
    <w:p>
      <w:pPr>
        <w:spacing w:line="283" w:lineRule="atLeast"/>
        <w:ind w:firstLine="709"/>
        <w:jc w:val="both"/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наименование юридического лица, его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идентификационный номер налогоплательщика и основной государственный регистрационный номер, адрес юридического лица (</w:t>
      </w:r>
      <w:r>
        <w:rPr>
          <w:rFonts w:ascii="PT Astra Serif" w:hAnsi="PT Astra Serif"/>
          <w:sz w:val="26"/>
          <w:szCs w:val="26"/>
        </w:rPr>
        <w:t xml:space="preserve">представительства, филиала или иного обособленного структурного подразделения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),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являющихся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контролируемыми лицами (объект контроля): </w:t>
      </w:r>
      <w:r>
        <w:rPr>
          <w:rFonts w:ascii="PT Astra Serif" w:hAnsi="PT Astra Serif" w:eastAsia="PT Astra Serif" w:cs="PT Astra Serif"/>
          <w:color w:val="000000"/>
          <w:sz w:val="26"/>
        </w:rPr>
        <w:t xml:space="preserve">________________________________________________________________</w:t>
      </w:r>
    </w:p>
    <w:p>
      <w:pPr>
        <w:spacing w:line="283" w:lineRule="atLeast"/>
        <w:jc w:val="both"/>
        <w:rPr>
          <w:sz w:val="22"/>
          <w:szCs w:val="22"/>
        </w:rPr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_____________________________________________________________________________________________________________________________________________________________________________________________________________________________.</w:t>
      </w:r>
    </w:p>
    <w:p>
      <w:pPr>
        <w:spacing w:line="283" w:lineRule="atLeast"/>
        <w:ind w:firstLine="709"/>
        <w:jc w:val="both"/>
      </w:pPr>
      <w:r>
        <w:rPr>
          <w:rFonts w:ascii="PT Astra Serif" w:hAnsi="PT Astra Serif" w:eastAsia="PT Astra Serif" w:cs="PT Astra Serif"/>
          <w:color w:val="000000"/>
          <w:sz w:val="26"/>
        </w:rPr>
        <w:t xml:space="preserve">6. Должность, фамилия и инициалы должностного лица Департамента труда и занятости населения Томской области, проводящего контрольное (надзорное) мероприятие и заполняющего проверочный лист:______________________________ _________________________________________________________________________.</w:t>
      </w:r>
    </w:p>
    <w:p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 xml:space="preserve">8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</w:p>
  <w:p>
    <w:pPr>
      <w:pStyle w:val="ListParagraph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 xml:space="preserve">ТОМСКОЙ ОБЛАСТИ</w:t>
    </w:r>
  </w:p>
  <w:p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pPr>
      <w:pBdr>
        <w:top w:val="none"/>
        <w:left w:val="none"/>
        <w:bottom w:val="none"/>
        <w:right w:val="none"/>
        <w:between w:val="none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one"/>
        <w:left w:val="none"/>
        <w:bottom w:val="none"/>
        <w:right w:val="none"/>
        <w:between w:val="none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EndnoteTextChar" w:customStyle="1">
    <w:name w:val="Endnote Text Char"/>
    <w:uiPriority w:val="99"/>
    <w:rPr>
      <w:sz w:val="20"/>
    </w:rPr>
  </w:style>
  <w:style w:type="character" w:styleId="Heading1Char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uiPriority w:val="9"/>
    <w:rPr>
      <w:rFonts w:ascii="Arial" w:hAnsi="Arial" w:eastAsia="Arial" w:cs="Arial"/>
      <w:sz w:val="34"/>
    </w:rPr>
  </w:style>
  <w:style w:type="character" w:styleId="Heading3Char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uiPriority w:val="10"/>
    <w:rPr>
      <w:sz w:val="48"/>
      <w:szCs w:val="48"/>
    </w:rPr>
  </w:style>
  <w:style w:type="character" w:styleId="SubtitleChar" w:customStyle="1">
    <w:name w:val="Subtitle Char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HeaderChar" w:customStyle="1">
    <w:name w:val="Header Char"/>
    <w:basedOn w:val="DefaultParagraphFont"/>
    <w:uiPriority w:val="99"/>
  </w:style>
  <w:style w:type="character" w:styleId="FooterChar" w:customStyle="1">
    <w:name w:val="Footer Char"/>
    <w:basedOn w:val="DefaultParagraphFont"/>
    <w:uiPriority w:val="99"/>
  </w:style>
  <w:style w:type="character" w:styleId="CaptionChar" w:customStyle="1">
    <w:name w:val="Caption Char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styleId="a" w:customStyle="1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styleId="1" w:customStyle="1">
    <w:name w:val="Заголовок 1 Знак"/>
    <w:link w:val="Heading1"/>
    <w:uiPriority w:val="9"/>
    <w:rPr>
      <w:rFonts w:ascii="Arial" w:hAnsi="Arial" w:eastAsia="Arial"/>
      <w:sz w:val="40"/>
      <w:szCs w:val="40"/>
      <w:lang w:bidi="ar-SA"/>
    </w:rPr>
  </w:style>
  <w:style w:type="character" w:styleId="2" w:customStyle="1">
    <w:name w:val="Заголовок 2 Знак"/>
    <w:link w:val="Heading2"/>
    <w:uiPriority w:val="9"/>
    <w:rPr>
      <w:rFonts w:ascii="Arial" w:hAnsi="Arial" w:eastAsia="Arial"/>
      <w:sz w:val="34"/>
      <w:lang w:bidi="ar-SA"/>
    </w:rPr>
  </w:style>
  <w:style w:type="character" w:styleId="3" w:customStyle="1">
    <w:name w:val="Заголовок 3 Знак"/>
    <w:link w:val="Heading3"/>
    <w:uiPriority w:val="9"/>
    <w:rPr>
      <w:rFonts w:ascii="Arial" w:hAnsi="Arial" w:eastAsia="Arial"/>
      <w:sz w:val="30"/>
      <w:szCs w:val="30"/>
      <w:lang w:bidi="ar-SA"/>
    </w:rPr>
  </w:style>
  <w:style w:type="character" w:styleId="4" w:customStyle="1">
    <w:name w:val="Заголовок 4 Знак"/>
    <w:link w:val="Heading4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5" w:customStyle="1">
    <w:name w:val="Заголовок 5 Знак"/>
    <w:link w:val="Heading5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" w:customStyle="1">
    <w:name w:val="Заголовок 6 Знак"/>
    <w:link w:val="Heading6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" w:customStyle="1">
    <w:name w:val="Заголовок 7 Знак"/>
    <w:link w:val="Heading7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" w:customStyle="1">
    <w:name w:val="Заголовок 8 Знак"/>
    <w:link w:val="Heading8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" w:customStyle="1">
    <w:name w:val="Заголовок 9 Знак"/>
    <w:link w:val="Heading9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ListParagraph">
    <w:name w:val="List Paragraph"/>
    <w:pPr>
      <w:pBdr>
        <w:top w:val="none"/>
        <w:left w:val="none"/>
        <w:bottom w:val="none"/>
        <w:right w:val="none"/>
        <w:between w:val="none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one"/>
        <w:left w:val="none"/>
        <w:bottom w:val="none"/>
        <w:right w:val="none"/>
        <w:between w:val="none"/>
      </w:pBdr>
      <w:spacing w:before="300" w:after="200"/>
      <w:contextualSpacing/>
    </w:pPr>
    <w:rPr>
      <w:sz w:val="48"/>
      <w:szCs w:val="48"/>
    </w:rPr>
  </w:style>
  <w:style w:type="character" w:styleId="a0" w:customStyle="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one"/>
        <w:left w:val="none"/>
        <w:bottom w:val="none"/>
        <w:right w:val="none"/>
        <w:between w:val="none"/>
      </w:pBdr>
      <w:spacing w:before="200" w:after="200"/>
    </w:pPr>
    <w:rPr>
      <w:sz w:val="24"/>
      <w:szCs w:val="24"/>
    </w:rPr>
  </w:style>
  <w:style w:type="character" w:styleId="a1" w:customStyle="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one"/>
        <w:left w:val="none"/>
        <w:bottom w:val="none"/>
        <w:right w:val="none"/>
        <w:between w:val="none"/>
      </w:pBdr>
      <w:ind w:left="720" w:right="720"/>
    </w:pPr>
    <w:rPr>
      <w:i/>
    </w:rPr>
  </w:style>
  <w:style w:type="character" w:styleId="20" w:customStyle="1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/>
      </w:pBdr>
      <w:shd w:val="clear" w:color="auto" w:fill="f2f2f2"/>
      <w:ind w:left="720" w:right="720"/>
    </w:pPr>
    <w:rPr>
      <w:i/>
    </w:rPr>
  </w:style>
  <w:style w:type="character" w:styleId="a2" w:customStyle="1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styleId="a3" w:customStyle="1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styleId="a4" w:customStyle="1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1" w:customStyle="1">
    <w:name w:val="Plain Table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2" w:customStyle="1">
    <w:name w:val="Plain Table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/>
        <w:bottom w:val="single" w:color="000000" w:sz="4" w:space="0"/>
        <w:right w:val="none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PlainTable3" w:customStyle="1">
    <w:name w:val="Plain Table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PlainTable4" w:customStyle="1">
    <w:name w:val="Plain Table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PlainTable5" w:customStyle="1">
    <w:name w:val="Plain Table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" w:customStyle="1">
    <w:name w:val="Grid Table 1 Light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1" w:customStyle="1">
    <w:name w:val="Grid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2" w:customStyle="1">
    <w:name w:val="Grid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3" w:customStyle="1">
    <w:name w:val="Grid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4" w:customStyle="1">
    <w:name w:val="Grid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5" w:customStyle="1">
    <w:name w:val="Grid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1Light-Accent6" w:customStyle="1">
    <w:name w:val="Grid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" w:customStyle="1">
    <w:name w:val="Grid Table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1" w:customStyle="1">
    <w:name w:val="Grid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2" w:customStyle="1">
    <w:name w:val="Grid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3" w:customStyle="1">
    <w:name w:val="Grid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4" w:customStyle="1">
    <w:name w:val="Grid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5" w:customStyle="1">
    <w:name w:val="Grid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2-Accent6" w:customStyle="1">
    <w:name w:val="Grid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" w:customStyle="1">
    <w:name w:val="Grid Table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1" w:customStyle="1">
    <w:name w:val="Grid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2" w:customStyle="1">
    <w:name w:val="Grid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3" w:customStyle="1">
    <w:name w:val="Grid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4" w:customStyle="1">
    <w:name w:val="Grid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5" w:customStyle="1">
    <w:name w:val="Grid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3-Accent6" w:customStyle="1">
    <w:name w:val="Grid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" w:customStyle="1">
    <w:name w:val="Grid Table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1" w:customStyle="1">
    <w:name w:val="Grid Table 4 - Accent 1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2" w:customStyle="1">
    <w:name w:val="Grid Table 4 - Accent 2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3" w:customStyle="1">
    <w:name w:val="Grid Table 4 - Accent 3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4" w:customStyle="1">
    <w:name w:val="Grid Table 4 - Accent 4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5" w:customStyle="1">
    <w:name w:val="Grid Table 4 - Accent 5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4-Accent6" w:customStyle="1">
    <w:name w:val="Grid Table 4 - Accent 6"/>
    <w:uiPriority w:val="5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" w:customStyle="1">
    <w:name w:val="Grid Table 5 Dark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1" w:customStyle="1">
    <w:name w:val="Grid Table 5 Dark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2" w:customStyle="1">
    <w:name w:val="Grid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3" w:customStyle="1">
    <w:name w:val="Grid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4" w:customStyle="1">
    <w:name w:val="Grid Table 5 Dark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5" w:customStyle="1">
    <w:name w:val="Grid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GridTable5Dark-Accent6" w:customStyle="1">
    <w:name w:val="Grid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" w:customStyle="1">
    <w:name w:val="Grid Table 6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1" w:customStyle="1">
    <w:name w:val="Grid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2" w:customStyle="1">
    <w:name w:val="Grid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3" w:customStyle="1">
    <w:name w:val="Grid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4" w:customStyle="1">
    <w:name w:val="Grid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5" w:customStyle="1">
    <w:name w:val="Grid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6Colorful-Accent6" w:customStyle="1">
    <w:name w:val="Grid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" w:customStyle="1">
    <w:name w:val="Grid Table 7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1" w:customStyle="1">
    <w:name w:val="Grid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2" w:customStyle="1">
    <w:name w:val="Grid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3" w:customStyle="1">
    <w:name w:val="Grid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4" w:customStyle="1">
    <w:name w:val="Grid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5" w:customStyle="1">
    <w:name w:val="Grid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GridTable7Colorful-Accent6" w:customStyle="1">
    <w:name w:val="Grid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" w:customStyle="1">
    <w:name w:val="List Table 1 Light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1" w:customStyle="1">
    <w:name w:val="List Table 1 Light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2" w:customStyle="1">
    <w:name w:val="List Table 1 Light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3" w:customStyle="1">
    <w:name w:val="List Table 1 Light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4" w:customStyle="1">
    <w:name w:val="List Table 1 Light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5" w:customStyle="1">
    <w:name w:val="List Table 1 Light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1Light-Accent6" w:customStyle="1">
    <w:name w:val="List Table 1 Light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stTable2" w:customStyle="1">
    <w:name w:val="List Table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1" w:customStyle="1">
    <w:name w:val="List Table 2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2" w:customStyle="1">
    <w:name w:val="List Table 2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3" w:customStyle="1">
    <w:name w:val="List Table 2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4" w:customStyle="1">
    <w:name w:val="List Table 2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5" w:customStyle="1">
    <w:name w:val="List Table 2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2-Accent6" w:customStyle="1">
    <w:name w:val="List Table 2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" w:customStyle="1">
    <w:name w:val="List Table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1" w:customStyle="1">
    <w:name w:val="List Table 3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2" w:customStyle="1">
    <w:name w:val="List Table 3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3" w:customStyle="1">
    <w:name w:val="List Table 3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4" w:customStyle="1">
    <w:name w:val="List Table 3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5" w:customStyle="1">
    <w:name w:val="List Table 3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3-Accent6" w:customStyle="1">
    <w:name w:val="List Table 3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" w:customStyle="1">
    <w:name w:val="List Table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1" w:customStyle="1">
    <w:name w:val="List Table 4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2" w:customStyle="1">
    <w:name w:val="List Table 4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3" w:customStyle="1">
    <w:name w:val="List Table 4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4" w:customStyle="1">
    <w:name w:val="List Table 4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5" w:customStyle="1">
    <w:name w:val="List Table 4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4-Accent6" w:customStyle="1">
    <w:name w:val="List Table 4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" w:customStyle="1">
    <w:name w:val="List Table 5 Dark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1" w:customStyle="1">
    <w:name w:val="List Table 5 Dark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2" w:customStyle="1">
    <w:name w:val="List Table 5 Dark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3" w:customStyle="1">
    <w:name w:val="List Table 5 Dark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4" w:customStyle="1">
    <w:name w:val="List Table 5 Dark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5" w:customStyle="1">
    <w:name w:val="List Table 5 Dark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ListTable5Dark-Accent6" w:customStyle="1">
    <w:name w:val="List Table 5 Dark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" w:customStyle="1">
    <w:name w:val="List Table 6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1" w:customStyle="1">
    <w:name w:val="List Table 6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2" w:customStyle="1">
    <w:name w:val="List Table 6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3" w:customStyle="1">
    <w:name w:val="List Table 6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4" w:customStyle="1">
    <w:name w:val="List Table 6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5" w:customStyle="1">
    <w:name w:val="List Table 6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6Colorful-Accent6" w:customStyle="1">
    <w:name w:val="List Table 6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" w:customStyle="1">
    <w:name w:val="List Table 7 Colorful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1" w:customStyle="1">
    <w:name w:val="List Table 7 Colorful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2" w:customStyle="1">
    <w:name w:val="List Table 7 Colorful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3" w:customStyle="1">
    <w:name w:val="List Table 7 Colorful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4" w:customStyle="1">
    <w:name w:val="List Table 7 Colorful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5" w:customStyle="1">
    <w:name w:val="List Table 7 Colorful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stTable7Colorful-Accent6" w:customStyle="1">
    <w:name w:val="List Table 7 Colorful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" w:customStyle="1">
    <w:name w:val="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1" w:customStyle="1">
    <w:name w:val="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2" w:customStyle="1">
    <w:name w:val="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3" w:customStyle="1">
    <w:name w:val="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4" w:customStyle="1">
    <w:name w:val="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5" w:customStyle="1">
    <w:name w:val="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Lined-Accent6" w:customStyle="1">
    <w:name w:val="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" w:customStyle="1">
    <w:name w:val="Bordered &amp; Lined - Accent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1" w:customStyle="1">
    <w:name w:val="Bordered &amp; Lin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2" w:customStyle="1">
    <w:name w:val="Bordered &amp; Lin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3" w:customStyle="1">
    <w:name w:val="Bordered &amp; Lin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4" w:customStyle="1">
    <w:name w:val="Bordered &amp; Lin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5" w:customStyle="1">
    <w:name w:val="Bordered &amp; Lin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Lined-Accent6" w:customStyle="1">
    <w:name w:val="Bordered &amp; Lin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" w:customStyle="1">
    <w:name w:val="Bordered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1" w:customStyle="1">
    <w:name w:val="Bordered - Accent 1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2" w:customStyle="1">
    <w:name w:val="Bordered - Accent 2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3" w:customStyle="1">
    <w:name w:val="Bordered - Accent 3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4" w:customStyle="1">
    <w:name w:val="Bordered - Accent 4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5" w:customStyle="1">
    <w:name w:val="Bordered - Accent 5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Bordered-Accent6" w:customStyle="1">
    <w:name w:val="Bordered - Accent 6"/>
    <w:uiPriority w:val="99"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one"/>
        <w:left w:val="none"/>
        <w:bottom w:val="none"/>
        <w:right w:val="none"/>
        <w:between w:val="none"/>
      </w:pBdr>
      <w:spacing w:after="40"/>
    </w:pPr>
    <w:rPr>
      <w:sz w:val="18"/>
    </w:rPr>
  </w:style>
  <w:style w:type="character" w:styleId="a5" w:customStyle="1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one"/>
        <w:left w:val="none"/>
        <w:bottom w:val="none"/>
        <w:right w:val="none"/>
        <w:between w:val="none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one"/>
        <w:left w:val="none"/>
        <w:bottom w:val="none"/>
        <w:right w:val="none"/>
        <w:between w:val="none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styleId="a6" w:customStyle="1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styleId="a7" w:customStyle="1">
    <w:name w:val="Адресные реквизиты"/>
    <w:basedOn w:val="BodyText"/>
    <w:next w:val="BodyText"/>
    <w:pPr>
      <w:jc w:val="left"/>
    </w:pPr>
    <w:rPr>
      <w:sz w:val="16"/>
    </w:rPr>
  </w:style>
  <w:style w:type="paragraph" w:styleId="a8" w:customStyle="1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styleId="a9" w:customStyle="1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styleId="a10" w:customStyle="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styleId="11" w:customStyle="1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ConsPlusTitle" w:customStyle="1">
    <w:name w:val="ConsPlusTitle"/>
    <w:pPr>
      <w:widowControl w:val="off"/>
      <w:pBdr>
        <w:top w:val="none"/>
        <w:left w:val="none"/>
        <w:bottom w:val="none"/>
        <w:right w:val="none"/>
        <w:between w:val="none"/>
      </w:pBdr>
    </w:pPr>
    <w:rPr>
      <w:rFonts w:ascii="Arial" w:hAnsi="Arial"/>
      <w:b/>
      <w:bCs/>
    </w:rPr>
  </w:style>
  <w:style w:type="paragraph" w:styleId="NormalWeb">
    <w:name w:val="Normal (Web)"/>
    <w:basedOn w:val="Normal"/>
    <w:uiPriority w:val="99"/>
    <w:unhideWhenUsed/>
    <w:pPr>
      <w:pBdr>
        <w:top w:val="none"/>
        <w:left w:val="none"/>
        <w:bottom w:val="none"/>
        <w:right w:val="none"/>
        <w:between w:val="none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customXml" Target="../customXml/item1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81E56-1279-45BD-A405-A322B4AC8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11973</Characters>
  <CharactersWithSpaces>14045</CharactersWithSpaces>
  <Company/>
  <DocSecurity>0</DocSecurity>
  <HyperlinksChanged>false</HyperlinksChanged>
  <Lines>99</Lines>
  <LinksUpToDate>false</LinksUpToDate>
  <Pages>10</Pages>
  <Paragraphs>28</Paragraphs>
  <ScaleCrop>false</ScaleCrop>
  <SharedDoc>false</SharedDoc>
  <Template>Normal</Template>
  <TotalTime>61</TotalTime>
  <Words>2100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GnetkovaLB</cp:lastModifiedBy>
  <cp:revision>43</cp:revision>
  <cp:lastPrinted>2026-04-13T07:18:00Z</cp:lastPrinted>
  <dcterms:created xsi:type="dcterms:W3CDTF">2023-02-28T07:43:00Z</dcterms:created>
  <dcterms:modified xsi:type="dcterms:W3CDTF">2026-04-13T09:49:00Z</dcterms:modified>
</cp:coreProperties>
</file>