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32"/>
        <w:jc w:val="center"/>
        <w:rPr>
          <w:rFonts w:ascii="PT Astra Serif" w:hAnsi="PT Astra Serif" w:cs="PT Astra Serif"/>
          <w:b/>
          <w:sz w:val="26"/>
          <w:szCs w:val="26"/>
          <w:u w:val="single"/>
        </w:rPr>
      </w:pPr>
      <w:r>
        <w:rPr>
          <w:rFonts w:ascii="PT Astra Serif" w:hAnsi="PT Astra Serif" w:eastAsia="PT Astra Serif" w:cs="PT Astra Serif"/>
          <w:b/>
          <w:sz w:val="26"/>
          <w:szCs w:val="26"/>
          <w:u w:val="single"/>
        </w:rPr>
        <w:t xml:space="preserve">Итоги проведения государственн</w:t>
      </w:r>
      <w:r>
        <w:rPr>
          <w:rFonts w:ascii="PT Astra Serif" w:hAnsi="PT Astra Serif" w:eastAsia="PT Astra Serif" w:cs="PT Astra Serif"/>
          <w:b/>
          <w:sz w:val="26"/>
          <w:szCs w:val="26"/>
          <w:u w:val="single"/>
        </w:rPr>
        <w:t xml:space="preserve">ой</w:t>
      </w:r>
      <w:r>
        <w:rPr>
          <w:rFonts w:ascii="PT Astra Serif" w:hAnsi="PT Astra Serif" w:eastAsia="PT Astra Serif" w:cs="PT Astra Serif"/>
          <w:b/>
          <w:sz w:val="26"/>
          <w:szCs w:val="26"/>
          <w:u w:val="single"/>
        </w:rPr>
        <w:t xml:space="preserve"> экспертиз</w:t>
      </w:r>
      <w:r>
        <w:rPr>
          <w:rFonts w:ascii="PT Astra Serif" w:hAnsi="PT Astra Serif" w:eastAsia="PT Astra Serif" w:cs="PT Astra Serif"/>
          <w:b/>
          <w:sz w:val="26"/>
          <w:szCs w:val="26"/>
          <w:u w:val="single"/>
        </w:rPr>
        <w:t xml:space="preserve">ы условий труда</w:t>
      </w:r>
      <w:r>
        <w:rPr>
          <w:rFonts w:ascii="PT Astra Serif" w:hAnsi="PT Astra Serif" w:eastAsia="PT Astra Serif" w:cs="PT Astra Serif"/>
          <w:b/>
          <w:sz w:val="26"/>
          <w:szCs w:val="26"/>
          <w:u w:val="single"/>
        </w:rPr>
        <w:t xml:space="preserve"> </w:t>
      </w:r>
      <w:r>
        <w:rPr>
          <w:rFonts w:ascii="PT Astra Serif" w:hAnsi="PT Astra Serif" w:cs="PT Astra Serif"/>
          <w:b/>
          <w:sz w:val="26"/>
          <w:szCs w:val="26"/>
          <w:u w:val="single"/>
        </w:rPr>
      </w:r>
      <w:r>
        <w:rPr>
          <w:rFonts w:ascii="PT Astra Serif" w:hAnsi="PT Astra Serif" w:cs="PT Astra Serif"/>
          <w:b/>
          <w:sz w:val="26"/>
          <w:szCs w:val="26"/>
          <w:u w:val="single"/>
        </w:rPr>
      </w:r>
    </w:p>
    <w:p>
      <w:pPr>
        <w:pStyle w:val="832"/>
        <w:jc w:val="center"/>
        <w:rPr>
          <w:rFonts w:ascii="PT Astra Serif" w:hAnsi="PT Astra Serif" w:cs="PT Astra Serif"/>
          <w:b/>
          <w:sz w:val="26"/>
          <w:szCs w:val="26"/>
          <w:u w:val="single"/>
        </w:rPr>
      </w:pPr>
      <w:r>
        <w:rPr>
          <w:rFonts w:ascii="PT Astra Serif" w:hAnsi="PT Astra Serif" w:eastAsia="PT Astra Serif" w:cs="PT Astra Serif"/>
          <w:b/>
          <w:sz w:val="26"/>
          <w:szCs w:val="26"/>
          <w:u w:val="single"/>
        </w:rPr>
        <w:t xml:space="preserve">за</w:t>
      </w:r>
      <w:r>
        <w:rPr>
          <w:rFonts w:ascii="PT Astra Serif" w:hAnsi="PT Astra Serif" w:eastAsia="PT Astra Serif" w:cs="PT Astra Serif"/>
          <w:b/>
          <w:sz w:val="26"/>
          <w:szCs w:val="26"/>
          <w:u w:val="single"/>
        </w:rPr>
        <w:t xml:space="preserve"> </w:t>
      </w:r>
      <w:r>
        <w:rPr>
          <w:rFonts w:ascii="PT Astra Serif" w:hAnsi="PT Astra Serif" w:eastAsia="PT Astra Serif" w:cs="PT Astra Serif"/>
          <w:b/>
          <w:sz w:val="26"/>
          <w:szCs w:val="26"/>
          <w:u w:val="single"/>
          <w:lang w:val="en-US"/>
        </w:rPr>
        <w:t xml:space="preserve">2024 </w:t>
      </w:r>
      <w:r>
        <w:rPr>
          <w:rFonts w:ascii="PT Astra Serif" w:hAnsi="PT Astra Serif" w:eastAsia="PT Astra Serif" w:cs="PT Astra Serif"/>
          <w:b/>
          <w:sz w:val="26"/>
          <w:szCs w:val="26"/>
          <w:u w:val="single"/>
        </w:rPr>
        <w:t xml:space="preserve">год</w:t>
      </w:r>
      <w:r>
        <w:rPr>
          <w:rFonts w:ascii="PT Astra Serif" w:hAnsi="PT Astra Serif" w:cs="PT Astra Serif"/>
          <w:b/>
          <w:sz w:val="26"/>
          <w:szCs w:val="26"/>
          <w:u w:val="single"/>
        </w:rPr>
      </w:r>
      <w:r>
        <w:rPr>
          <w:rFonts w:ascii="PT Astra Serif" w:hAnsi="PT Astra Serif" w:cs="PT Astra Serif"/>
          <w:b/>
          <w:sz w:val="26"/>
          <w:szCs w:val="26"/>
          <w:u w:val="single"/>
        </w:rPr>
      </w:r>
    </w:p>
    <w:p>
      <w:pPr>
        <w:pStyle w:val="832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832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За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2024 год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п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роведено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–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shd w:val="clear" w:color="auto" w:fill="ffffff"/>
        </w:rPr>
        <w:t xml:space="preserve">43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государственных экспертиз условий труда, из них: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832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832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- по запросу граждан проведено –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35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государственная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экспертиз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а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условий труда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;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832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- по запросу организаций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–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8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государственных экспертиз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условий труда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.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832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40"/>
        <w:gridCol w:w="5688"/>
        <w:gridCol w:w="239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4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№ п/п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5688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Наименование государственной экспертизы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2393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Количество проведенных экспертиз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55"/>
        </w:trPr>
        <w:tc>
          <w:tcPr>
            <w:tcW w:w="54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1.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5688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Оценка качества проведения специальной оценки условий труда, из них: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2393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val="en-US"/>
              </w:rPr>
              <w:t xml:space="preserve">6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4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2.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5688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Оценк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а  правильности предоставления работникам гарантий и компенсаций за работу с вредными и (или) опасными условиями труда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2393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4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3.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5688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Оценка фактических условий труда работников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2393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37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</w:tbl>
    <w:p>
      <w:pPr>
        <w:pStyle w:val="832"/>
        <w:ind w:firstLine="36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4">
    <w:name w:val="Heading 1"/>
    <w:basedOn w:val="832"/>
    <w:next w:val="832"/>
    <w:link w:val="65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5">
    <w:name w:val="Heading 1 Char"/>
    <w:link w:val="654"/>
    <w:uiPriority w:val="9"/>
    <w:rPr>
      <w:rFonts w:ascii="Arial" w:hAnsi="Arial" w:eastAsia="Arial" w:cs="Arial"/>
      <w:sz w:val="40"/>
      <w:szCs w:val="40"/>
    </w:rPr>
  </w:style>
  <w:style w:type="paragraph" w:styleId="656">
    <w:name w:val="Heading 2"/>
    <w:basedOn w:val="832"/>
    <w:next w:val="832"/>
    <w:link w:val="65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7">
    <w:name w:val="Heading 2 Char"/>
    <w:link w:val="656"/>
    <w:uiPriority w:val="9"/>
    <w:rPr>
      <w:rFonts w:ascii="Arial" w:hAnsi="Arial" w:eastAsia="Arial" w:cs="Arial"/>
      <w:sz w:val="34"/>
    </w:rPr>
  </w:style>
  <w:style w:type="paragraph" w:styleId="658">
    <w:name w:val="Heading 3"/>
    <w:basedOn w:val="832"/>
    <w:next w:val="832"/>
    <w:link w:val="65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59">
    <w:name w:val="Heading 3 Char"/>
    <w:link w:val="658"/>
    <w:uiPriority w:val="9"/>
    <w:rPr>
      <w:rFonts w:ascii="Arial" w:hAnsi="Arial" w:eastAsia="Arial" w:cs="Arial"/>
      <w:sz w:val="30"/>
      <w:szCs w:val="30"/>
    </w:rPr>
  </w:style>
  <w:style w:type="paragraph" w:styleId="660">
    <w:name w:val="Heading 4"/>
    <w:basedOn w:val="832"/>
    <w:next w:val="832"/>
    <w:link w:val="66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1">
    <w:name w:val="Heading 4 Char"/>
    <w:link w:val="660"/>
    <w:uiPriority w:val="9"/>
    <w:rPr>
      <w:rFonts w:ascii="Arial" w:hAnsi="Arial" w:eastAsia="Arial" w:cs="Arial"/>
      <w:b/>
      <w:bCs/>
      <w:sz w:val="26"/>
      <w:szCs w:val="26"/>
    </w:rPr>
  </w:style>
  <w:style w:type="paragraph" w:styleId="662">
    <w:name w:val="Heading 5"/>
    <w:basedOn w:val="832"/>
    <w:next w:val="832"/>
    <w:link w:val="66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3">
    <w:name w:val="Heading 5 Char"/>
    <w:link w:val="662"/>
    <w:uiPriority w:val="9"/>
    <w:rPr>
      <w:rFonts w:ascii="Arial" w:hAnsi="Arial" w:eastAsia="Arial" w:cs="Arial"/>
      <w:b/>
      <w:bCs/>
      <w:sz w:val="24"/>
      <w:szCs w:val="24"/>
    </w:rPr>
  </w:style>
  <w:style w:type="paragraph" w:styleId="664">
    <w:name w:val="Heading 6"/>
    <w:basedOn w:val="832"/>
    <w:next w:val="832"/>
    <w:link w:val="66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5">
    <w:name w:val="Heading 6 Char"/>
    <w:link w:val="664"/>
    <w:uiPriority w:val="9"/>
    <w:rPr>
      <w:rFonts w:ascii="Arial" w:hAnsi="Arial" w:eastAsia="Arial" w:cs="Arial"/>
      <w:b/>
      <w:bCs/>
      <w:sz w:val="22"/>
      <w:szCs w:val="22"/>
    </w:rPr>
  </w:style>
  <w:style w:type="paragraph" w:styleId="666">
    <w:name w:val="Heading 7"/>
    <w:basedOn w:val="832"/>
    <w:next w:val="832"/>
    <w:link w:val="66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7">
    <w:name w:val="Heading 7 Char"/>
    <w:link w:val="66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8">
    <w:name w:val="Heading 8"/>
    <w:basedOn w:val="832"/>
    <w:next w:val="832"/>
    <w:link w:val="66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69">
    <w:name w:val="Heading 8 Char"/>
    <w:link w:val="668"/>
    <w:uiPriority w:val="9"/>
    <w:rPr>
      <w:rFonts w:ascii="Arial" w:hAnsi="Arial" w:eastAsia="Arial" w:cs="Arial"/>
      <w:i/>
      <w:iCs/>
      <w:sz w:val="22"/>
      <w:szCs w:val="22"/>
    </w:rPr>
  </w:style>
  <w:style w:type="paragraph" w:styleId="670">
    <w:name w:val="Heading 9"/>
    <w:basedOn w:val="832"/>
    <w:next w:val="832"/>
    <w:link w:val="67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1">
    <w:name w:val="Heading 9 Char"/>
    <w:link w:val="670"/>
    <w:uiPriority w:val="9"/>
    <w:rPr>
      <w:rFonts w:ascii="Arial" w:hAnsi="Arial" w:eastAsia="Arial" w:cs="Arial"/>
      <w:i/>
      <w:iCs/>
      <w:sz w:val="21"/>
      <w:szCs w:val="21"/>
    </w:rPr>
  </w:style>
  <w:style w:type="paragraph" w:styleId="672">
    <w:name w:val="List Paragraph"/>
    <w:basedOn w:val="832"/>
    <w:uiPriority w:val="34"/>
    <w:qFormat/>
    <w:pPr>
      <w:contextualSpacing/>
      <w:ind w:left="720"/>
    </w:pPr>
  </w:style>
  <w:style w:type="paragraph" w:styleId="673">
    <w:name w:val="No Spacing"/>
    <w:uiPriority w:val="1"/>
    <w:qFormat/>
    <w:pPr>
      <w:spacing w:before="0" w:after="0" w:line="240" w:lineRule="auto"/>
    </w:pPr>
  </w:style>
  <w:style w:type="paragraph" w:styleId="674">
    <w:name w:val="Title"/>
    <w:basedOn w:val="832"/>
    <w:next w:val="832"/>
    <w:link w:val="67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5">
    <w:name w:val="Title Char"/>
    <w:link w:val="674"/>
    <w:uiPriority w:val="10"/>
    <w:rPr>
      <w:sz w:val="48"/>
      <w:szCs w:val="48"/>
    </w:rPr>
  </w:style>
  <w:style w:type="paragraph" w:styleId="676">
    <w:name w:val="Subtitle"/>
    <w:basedOn w:val="832"/>
    <w:next w:val="832"/>
    <w:link w:val="677"/>
    <w:uiPriority w:val="11"/>
    <w:qFormat/>
    <w:pPr>
      <w:spacing w:before="200" w:after="200"/>
    </w:pPr>
    <w:rPr>
      <w:sz w:val="24"/>
      <w:szCs w:val="24"/>
    </w:rPr>
  </w:style>
  <w:style w:type="character" w:styleId="677">
    <w:name w:val="Subtitle Char"/>
    <w:link w:val="676"/>
    <w:uiPriority w:val="11"/>
    <w:rPr>
      <w:sz w:val="24"/>
      <w:szCs w:val="24"/>
    </w:rPr>
  </w:style>
  <w:style w:type="paragraph" w:styleId="678">
    <w:name w:val="Quote"/>
    <w:basedOn w:val="832"/>
    <w:next w:val="832"/>
    <w:link w:val="679"/>
    <w:uiPriority w:val="29"/>
    <w:qFormat/>
    <w:pPr>
      <w:ind w:left="720" w:right="720"/>
    </w:pPr>
    <w:rPr>
      <w:i/>
    </w:rPr>
  </w:style>
  <w:style w:type="character" w:styleId="679">
    <w:name w:val="Quote Char"/>
    <w:link w:val="678"/>
    <w:uiPriority w:val="29"/>
    <w:rPr>
      <w:i/>
    </w:rPr>
  </w:style>
  <w:style w:type="paragraph" w:styleId="680">
    <w:name w:val="Intense Quote"/>
    <w:basedOn w:val="832"/>
    <w:next w:val="832"/>
    <w:link w:val="68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1">
    <w:name w:val="Intense Quote Char"/>
    <w:link w:val="680"/>
    <w:uiPriority w:val="30"/>
    <w:rPr>
      <w:i/>
    </w:rPr>
  </w:style>
  <w:style w:type="paragraph" w:styleId="682">
    <w:name w:val="Header"/>
    <w:basedOn w:val="832"/>
    <w:link w:val="68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3">
    <w:name w:val="Header Char"/>
    <w:link w:val="682"/>
    <w:uiPriority w:val="99"/>
  </w:style>
  <w:style w:type="paragraph" w:styleId="684">
    <w:name w:val="Footer"/>
    <w:basedOn w:val="832"/>
    <w:link w:val="68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5">
    <w:name w:val="Footer Char"/>
    <w:link w:val="684"/>
    <w:uiPriority w:val="99"/>
  </w:style>
  <w:style w:type="paragraph" w:styleId="686">
    <w:name w:val="Caption"/>
    <w:basedOn w:val="832"/>
    <w:next w:val="83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7">
    <w:name w:val="Caption Char"/>
    <w:basedOn w:val="686"/>
    <w:link w:val="684"/>
    <w:uiPriority w:val="99"/>
  </w:style>
  <w:style w:type="table" w:styleId="688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9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0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1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3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5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7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8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9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0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1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2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3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4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5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7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0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1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2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3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4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5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6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7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2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3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4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5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6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7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8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0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1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2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3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4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5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6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7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8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9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0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1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2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3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4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5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6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7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8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9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0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1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2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3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4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5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6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7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8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9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0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1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2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3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4">
    <w:name w:val="Hyperlink"/>
    <w:uiPriority w:val="99"/>
    <w:unhideWhenUsed/>
    <w:rPr>
      <w:color w:val="0000ff" w:themeColor="hyperlink"/>
      <w:u w:val="single"/>
    </w:rPr>
  </w:style>
  <w:style w:type="paragraph" w:styleId="815">
    <w:name w:val="footnote text"/>
    <w:basedOn w:val="832"/>
    <w:link w:val="816"/>
    <w:uiPriority w:val="99"/>
    <w:semiHidden/>
    <w:unhideWhenUsed/>
    <w:pPr>
      <w:spacing w:after="40" w:line="240" w:lineRule="auto"/>
    </w:pPr>
    <w:rPr>
      <w:sz w:val="18"/>
    </w:rPr>
  </w:style>
  <w:style w:type="character" w:styleId="816">
    <w:name w:val="Footnote Text Char"/>
    <w:link w:val="815"/>
    <w:uiPriority w:val="99"/>
    <w:rPr>
      <w:sz w:val="18"/>
    </w:rPr>
  </w:style>
  <w:style w:type="character" w:styleId="817">
    <w:name w:val="footnote reference"/>
    <w:uiPriority w:val="99"/>
    <w:unhideWhenUsed/>
    <w:rPr>
      <w:vertAlign w:val="superscript"/>
    </w:rPr>
  </w:style>
  <w:style w:type="paragraph" w:styleId="818">
    <w:name w:val="endnote text"/>
    <w:basedOn w:val="832"/>
    <w:link w:val="819"/>
    <w:uiPriority w:val="99"/>
    <w:semiHidden/>
    <w:unhideWhenUsed/>
    <w:pPr>
      <w:spacing w:after="0" w:line="240" w:lineRule="auto"/>
    </w:pPr>
    <w:rPr>
      <w:sz w:val="20"/>
    </w:rPr>
  </w:style>
  <w:style w:type="character" w:styleId="819">
    <w:name w:val="Endnote Text Char"/>
    <w:link w:val="818"/>
    <w:uiPriority w:val="99"/>
    <w:rPr>
      <w:sz w:val="20"/>
    </w:rPr>
  </w:style>
  <w:style w:type="character" w:styleId="820">
    <w:name w:val="endnote reference"/>
    <w:uiPriority w:val="99"/>
    <w:semiHidden/>
    <w:unhideWhenUsed/>
    <w:rPr>
      <w:vertAlign w:val="superscript"/>
    </w:rPr>
  </w:style>
  <w:style w:type="paragraph" w:styleId="821">
    <w:name w:val="toc 1"/>
    <w:basedOn w:val="832"/>
    <w:next w:val="832"/>
    <w:uiPriority w:val="39"/>
    <w:unhideWhenUsed/>
    <w:pPr>
      <w:ind w:left="0" w:right="0" w:firstLine="0"/>
      <w:spacing w:after="57"/>
    </w:pPr>
  </w:style>
  <w:style w:type="paragraph" w:styleId="822">
    <w:name w:val="toc 2"/>
    <w:basedOn w:val="832"/>
    <w:next w:val="832"/>
    <w:uiPriority w:val="39"/>
    <w:unhideWhenUsed/>
    <w:pPr>
      <w:ind w:left="283" w:right="0" w:firstLine="0"/>
      <w:spacing w:after="57"/>
    </w:pPr>
  </w:style>
  <w:style w:type="paragraph" w:styleId="823">
    <w:name w:val="toc 3"/>
    <w:basedOn w:val="832"/>
    <w:next w:val="832"/>
    <w:uiPriority w:val="39"/>
    <w:unhideWhenUsed/>
    <w:pPr>
      <w:ind w:left="567" w:right="0" w:firstLine="0"/>
      <w:spacing w:after="57"/>
    </w:pPr>
  </w:style>
  <w:style w:type="paragraph" w:styleId="824">
    <w:name w:val="toc 4"/>
    <w:basedOn w:val="832"/>
    <w:next w:val="832"/>
    <w:uiPriority w:val="39"/>
    <w:unhideWhenUsed/>
    <w:pPr>
      <w:ind w:left="850" w:right="0" w:firstLine="0"/>
      <w:spacing w:after="57"/>
    </w:pPr>
  </w:style>
  <w:style w:type="paragraph" w:styleId="825">
    <w:name w:val="toc 5"/>
    <w:basedOn w:val="832"/>
    <w:next w:val="832"/>
    <w:uiPriority w:val="39"/>
    <w:unhideWhenUsed/>
    <w:pPr>
      <w:ind w:left="1134" w:right="0" w:firstLine="0"/>
      <w:spacing w:after="57"/>
    </w:pPr>
  </w:style>
  <w:style w:type="paragraph" w:styleId="826">
    <w:name w:val="toc 6"/>
    <w:basedOn w:val="832"/>
    <w:next w:val="832"/>
    <w:uiPriority w:val="39"/>
    <w:unhideWhenUsed/>
    <w:pPr>
      <w:ind w:left="1417" w:right="0" w:firstLine="0"/>
      <w:spacing w:after="57"/>
    </w:pPr>
  </w:style>
  <w:style w:type="paragraph" w:styleId="827">
    <w:name w:val="toc 7"/>
    <w:basedOn w:val="832"/>
    <w:next w:val="832"/>
    <w:uiPriority w:val="39"/>
    <w:unhideWhenUsed/>
    <w:pPr>
      <w:ind w:left="1701" w:right="0" w:firstLine="0"/>
      <w:spacing w:after="57"/>
    </w:pPr>
  </w:style>
  <w:style w:type="paragraph" w:styleId="828">
    <w:name w:val="toc 8"/>
    <w:basedOn w:val="832"/>
    <w:next w:val="832"/>
    <w:uiPriority w:val="39"/>
    <w:unhideWhenUsed/>
    <w:pPr>
      <w:ind w:left="1984" w:right="0" w:firstLine="0"/>
      <w:spacing w:after="57"/>
    </w:pPr>
  </w:style>
  <w:style w:type="paragraph" w:styleId="829">
    <w:name w:val="toc 9"/>
    <w:basedOn w:val="832"/>
    <w:next w:val="832"/>
    <w:uiPriority w:val="39"/>
    <w:unhideWhenUsed/>
    <w:pPr>
      <w:ind w:left="2268" w:right="0" w:firstLine="0"/>
      <w:spacing w:after="57"/>
    </w:pPr>
  </w:style>
  <w:style w:type="paragraph" w:styleId="830">
    <w:name w:val="TOC Heading"/>
    <w:uiPriority w:val="39"/>
    <w:unhideWhenUsed/>
  </w:style>
  <w:style w:type="paragraph" w:styleId="831">
    <w:name w:val="table of figures"/>
    <w:basedOn w:val="832"/>
    <w:next w:val="832"/>
    <w:uiPriority w:val="99"/>
    <w:unhideWhenUsed/>
    <w:pPr>
      <w:spacing w:after="0" w:afterAutospacing="0"/>
    </w:pPr>
  </w:style>
  <w:style w:type="paragraph" w:styleId="832" w:default="1">
    <w:name w:val="Normal"/>
    <w:next w:val="832"/>
    <w:link w:val="832"/>
    <w:qFormat/>
    <w:rPr>
      <w:sz w:val="24"/>
      <w:szCs w:val="24"/>
      <w:lang w:val="ru-RU" w:eastAsia="ru-RU" w:bidi="ar-SA"/>
    </w:rPr>
  </w:style>
  <w:style w:type="character" w:styleId="833">
    <w:name w:val="Основной шрифт абзаца"/>
    <w:next w:val="833"/>
    <w:link w:val="832"/>
    <w:semiHidden/>
  </w:style>
  <w:style w:type="table" w:styleId="834">
    <w:name w:val="Обычная таблица"/>
    <w:next w:val="834"/>
    <w:link w:val="832"/>
    <w:semiHidden/>
    <w:tblPr/>
  </w:style>
  <w:style w:type="numbering" w:styleId="835">
    <w:name w:val="Нет списка"/>
    <w:next w:val="835"/>
    <w:link w:val="832"/>
    <w:semiHidden/>
  </w:style>
  <w:style w:type="table" w:styleId="836">
    <w:name w:val="Сетка таблицы"/>
    <w:basedOn w:val="834"/>
    <w:next w:val="836"/>
    <w:link w:val="832"/>
    <w:tblPr/>
  </w:style>
  <w:style w:type="character" w:styleId="837" w:default="1">
    <w:name w:val="Default Paragraph Font"/>
    <w:uiPriority w:val="1"/>
    <w:semiHidden/>
    <w:unhideWhenUsed/>
  </w:style>
  <w:style w:type="numbering" w:styleId="838" w:default="1">
    <w:name w:val="No List"/>
    <w:uiPriority w:val="99"/>
    <w:semiHidden/>
    <w:unhideWhenUsed/>
  </w:style>
  <w:style w:type="table" w:styleId="839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Р7-Офис/7.4.0.351</Application>
  <Company>*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Итоги проведения государственной экспертизы условий труда за 2015 год</dc:title>
  <dc:creator>bia</dc:creator>
  <cp:revision>6</cp:revision>
  <dcterms:created xsi:type="dcterms:W3CDTF">2022-10-10T07:36:00Z</dcterms:created>
  <dcterms:modified xsi:type="dcterms:W3CDTF">2025-10-07T04:17:56Z</dcterms:modified>
  <cp:version>786432</cp:version>
</cp:coreProperties>
</file>