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Times New Roman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  <w:t xml:space="preserve">Программа корпоративного здоровья для работников </w:t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</w: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  <w:t xml:space="preserve"> сферы семьи и детства</w:t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  <w:t xml:space="preserve">202</w:t>
      </w: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  <w:t xml:space="preserve">3</w:t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jc w:val="center"/>
        <w:spacing w:lineRule="auto" w:line="240" w:after="0"/>
        <w:shd w:val="clear" w:fill="FFFFFF" w:color="auto"/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jc w:val="center"/>
        <w:spacing w:lineRule="auto" w:line="240" w:after="0"/>
        <w:shd w:val="clear" w:fill="FFFFFF" w:color="auto"/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  <w:t xml:space="preserve">Содержание</w:t>
      </w:r>
      <w:r>
        <w:rPr>
          <w:sz w:val="25"/>
          <w:highlight w:val="none"/>
        </w:rPr>
      </w:r>
      <w:r/>
    </w:p>
    <w:p>
      <w:pPr>
        <w:ind w:right="-143"/>
        <w:jc w:val="both"/>
        <w:spacing w:lineRule="auto" w:line="240" w:after="0"/>
        <w:shd w:val="clear" w:fill="FFFFFF" w:color="auto"/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pStyle w:val="926"/>
        <w:numPr>
          <w:ilvl w:val="0"/>
          <w:numId w:val="16"/>
        </w:numPr>
        <w:ind w:left="357" w:right="-142" w:hanging="357"/>
        <w:jc w:val="both"/>
        <w:spacing w:lineRule="auto" w:line="240" w:after="0"/>
        <w:shd w:val="clear" w:fill="FFFFFF" w:color="auto"/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  <w:t xml:space="preserve">Паспорт программы</w:t>
      </w:r>
      <w:r>
        <w:rPr>
          <w:sz w:val="25"/>
          <w:highlight w:val="none"/>
        </w:rPr>
      </w:r>
      <w:r/>
    </w:p>
    <w:p>
      <w:pPr>
        <w:pStyle w:val="926"/>
        <w:numPr>
          <w:ilvl w:val="0"/>
          <w:numId w:val="16"/>
        </w:numPr>
        <w:ind w:left="357" w:right="-142" w:hanging="357"/>
        <w:jc w:val="both"/>
        <w:spacing w:lineRule="auto" w:line="240" w:after="0"/>
        <w:rPr>
          <w:rFonts w:ascii="PT Astra Serif" w:hAnsi="PT Astra Serif" w:cs="Times New Roman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Актуальность внедрения корпоративной программы здоровья </w:t>
      </w:r>
      <w:r>
        <w:rPr>
          <w:sz w:val="25"/>
          <w:highlight w:val="none"/>
        </w:rPr>
      </w:r>
      <w:r/>
    </w:p>
    <w:p>
      <w:pPr>
        <w:pStyle w:val="926"/>
        <w:numPr>
          <w:ilvl w:val="0"/>
          <w:numId w:val="16"/>
        </w:numPr>
        <w:ind w:left="357" w:right="-142" w:hanging="357"/>
        <w:jc w:val="both"/>
        <w:spacing w:lineRule="auto" w:line="240" w:after="0"/>
        <w:rPr>
          <w:rFonts w:ascii="PT Astra Serif" w:hAnsi="PT Astra Serif" w:cs="Times New Roman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Ход реализации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корпоративной программы здоровья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 </w:t>
      </w:r>
      <w:r>
        <w:rPr>
          <w:sz w:val="25"/>
          <w:highlight w:val="none"/>
        </w:rPr>
      </w:r>
      <w:r/>
    </w:p>
    <w:p>
      <w:pPr>
        <w:pStyle w:val="926"/>
        <w:numPr>
          <w:ilvl w:val="0"/>
          <w:numId w:val="16"/>
        </w:numPr>
        <w:ind w:left="357" w:right="-142" w:hanging="357"/>
        <w:jc w:val="both"/>
        <w:spacing w:lineRule="auto" w:line="240" w:after="0"/>
        <w:rPr>
          <w:rFonts w:ascii="PT Astra Serif" w:hAnsi="PT Astra Serif" w:cs="Times New Roman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Анализ ситуации и выбор приоритетов учреждения</w:t>
      </w:r>
      <w:r>
        <w:rPr>
          <w:sz w:val="25"/>
          <w:highlight w:val="none"/>
        </w:rPr>
      </w:r>
      <w:r/>
    </w:p>
    <w:p>
      <w:pPr>
        <w:pStyle w:val="926"/>
        <w:numPr>
          <w:ilvl w:val="0"/>
          <w:numId w:val="16"/>
        </w:numPr>
        <w:ind w:left="357" w:right="-142" w:hanging="357"/>
        <w:jc w:val="both"/>
        <w:spacing w:lineRule="auto" w:line="240" w:after="0"/>
        <w:rPr>
          <w:rFonts w:ascii="PT Astra Serif" w:hAnsi="PT Astra Serif" w:cs="Times New Roman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Необходимые ресурсы для реализации программы</w:t>
      </w:r>
      <w:r>
        <w:rPr>
          <w:sz w:val="25"/>
          <w:highlight w:val="none"/>
        </w:rPr>
      </w:r>
      <w:r/>
    </w:p>
    <w:p>
      <w:pPr>
        <w:pStyle w:val="926"/>
        <w:numPr>
          <w:ilvl w:val="0"/>
          <w:numId w:val="16"/>
        </w:numPr>
        <w:ind w:left="357" w:right="-142" w:hanging="357"/>
        <w:jc w:val="both"/>
        <w:spacing w:lineRule="auto" w:line="240" w:after="0"/>
        <w:rPr>
          <w:rFonts w:ascii="PT Astra Serif" w:hAnsi="PT Astra Serif" w:cs="Times New Roman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Мотивация участия в программе для работодателя и работника</w:t>
      </w:r>
      <w:r>
        <w:rPr>
          <w:sz w:val="25"/>
          <w:highlight w:val="none"/>
        </w:rPr>
      </w:r>
      <w:r/>
    </w:p>
    <w:p>
      <w:pPr>
        <w:pStyle w:val="926"/>
        <w:numPr>
          <w:ilvl w:val="0"/>
          <w:numId w:val="16"/>
        </w:numPr>
        <w:ind w:left="357" w:right="-142" w:hanging="357"/>
        <w:jc w:val="both"/>
        <w:spacing w:lineRule="auto" w:line="240" w:after="0"/>
        <w:rPr>
          <w:rFonts w:ascii="PT Astra Serif" w:hAnsi="PT Astra Serif" w:cs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Модули для реализации </w:t>
      </w:r>
      <w:r>
        <w:rPr>
          <w:rFonts w:ascii="PT Astra Serif" w:hAnsi="PT Astra Serif" w:cs="Times New Roman"/>
          <w:sz w:val="25"/>
          <w:szCs w:val="26"/>
          <w:highlight w:val="none"/>
        </w:rPr>
        <w:t xml:space="preserve">корпоративной программы здоровья </w:t>
      </w:r>
      <w:r>
        <w:rPr>
          <w:sz w:val="25"/>
          <w:highlight w:val="none"/>
        </w:rPr>
      </w:r>
      <w:r/>
    </w:p>
    <w:p>
      <w:pPr>
        <w:pStyle w:val="937"/>
        <w:numPr>
          <w:ilvl w:val="0"/>
          <w:numId w:val="16"/>
        </w:numPr>
        <w:ind w:left="357" w:right="-142" w:hanging="357"/>
        <w:jc w:val="both"/>
        <w:spacing w:after="0" w:afterAutospacing="0" w:before="0" w:beforeAutospacing="0"/>
        <w:rPr>
          <w:rFonts w:ascii="PT Astra Serif" w:hAnsi="PT Astra Serif"/>
          <w:sz w:val="25"/>
          <w:szCs w:val="26"/>
          <w:highlight w:val="none"/>
        </w:rPr>
      </w:pPr>
      <w:r>
        <w:rPr>
          <w:rFonts w:ascii="PT Astra Serif" w:hAnsi="PT Astra Serif"/>
          <w:sz w:val="25"/>
          <w:szCs w:val="26"/>
          <w:highlight w:val="none"/>
        </w:rPr>
        <w:t xml:space="preserve">Анализ рисков при реализации программы</w:t>
      </w:r>
      <w:r>
        <w:rPr>
          <w:sz w:val="25"/>
          <w:highlight w:val="none"/>
        </w:rPr>
      </w:r>
      <w:r/>
    </w:p>
    <w:p>
      <w:pPr>
        <w:pStyle w:val="937"/>
        <w:numPr>
          <w:ilvl w:val="0"/>
          <w:numId w:val="16"/>
        </w:numPr>
        <w:ind w:left="357" w:right="-142" w:hanging="357"/>
        <w:jc w:val="both"/>
        <w:spacing w:after="0" w:afterAutospacing="0" w:before="0" w:beforeAutospacing="0"/>
        <w:rPr>
          <w:rFonts w:ascii="PT Astra Serif" w:hAnsi="PT Astra Serif"/>
          <w:sz w:val="25"/>
          <w:szCs w:val="26"/>
          <w:highlight w:val="none"/>
        </w:rPr>
      </w:pPr>
      <w:r>
        <w:rPr>
          <w:rFonts w:ascii="PT Astra Serif" w:hAnsi="PT Astra Serif"/>
          <w:color w:val="000000"/>
          <w:position w:val="7"/>
          <w:sz w:val="25"/>
          <w:szCs w:val="26"/>
          <w:highlight w:val="none"/>
        </w:rPr>
        <w:t xml:space="preserve">Критерии оценки эффективности программы корпоративного здоровья</w:t>
      </w:r>
      <w:r>
        <w:rPr>
          <w:sz w:val="25"/>
          <w:highlight w:val="none"/>
        </w:rPr>
      </w:r>
      <w:r/>
    </w:p>
    <w:p>
      <w:pPr>
        <w:pStyle w:val="926"/>
        <w:ind w:left="284"/>
        <w:spacing w:lineRule="auto" w:line="240" w:after="0"/>
        <w:shd w:val="clear" w:fill="FFFFFF" w:color="auto"/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</w:rPr>
      </w:pPr>
      <w:r>
        <w:rPr>
          <w:sz w:val="25"/>
          <w:highlight w:val="none"/>
        </w:rPr>
      </w:r>
      <w:bookmarkStart w:id="0" w:name="_GoBack"/>
      <w:r>
        <w:rPr>
          <w:sz w:val="25"/>
          <w:highlight w:val="none"/>
        </w:rPr>
      </w:r>
      <w:bookmarkEnd w:id="0"/>
      <w:r>
        <w:rPr>
          <w:sz w:val="25"/>
          <w:highlight w:val="none"/>
        </w:rPr>
      </w:r>
      <w:r/>
    </w:p>
    <w:p>
      <w:pPr>
        <w:ind w:left="284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pStyle w:val="926"/>
        <w:numPr>
          <w:ilvl w:val="0"/>
          <w:numId w:val="19"/>
        </w:numPr>
        <w:jc w:val="center"/>
        <w:spacing w:lineRule="auto" w:line="240" w:after="0"/>
        <w:shd w:val="clear" w:fill="FFFFFF" w:color="auto"/>
        <w:rPr>
          <w:rFonts w:ascii="PT Astra Serif" w:hAnsi="PT Astra Serif" w:cs="Times New Roman" w:eastAsia="Times New Roman"/>
          <w:b/>
          <w:color w:val="000000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b/>
          <w:color w:val="000000"/>
          <w:sz w:val="25"/>
          <w:szCs w:val="26"/>
          <w:highlight w:val="none"/>
          <w:lang w:eastAsia="ru-RU"/>
        </w:rPr>
        <w:t xml:space="preserve">Паспорт программы</w:t>
      </w:r>
      <w:r>
        <w:rPr>
          <w:sz w:val="25"/>
          <w:highlight w:val="none"/>
        </w:rPr>
      </w:r>
      <w:r/>
    </w:p>
    <w:p>
      <w:pPr>
        <w:pStyle w:val="926"/>
        <w:spacing w:lineRule="auto" w:line="240" w:after="0"/>
        <w:shd w:val="clear" w:fill="FFFFFF" w:color="auto"/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tbl>
      <w:tblPr>
        <w:tblStyle w:val="927"/>
        <w:tblW w:w="10267" w:type="dxa"/>
        <w:tblInd w:w="-491" w:type="dxa"/>
        <w:tblLook w:val="04A0" w:firstRow="1" w:lastRow="0" w:firstColumn="1" w:lastColumn="0" w:noHBand="0" w:noVBand="1"/>
      </w:tblPr>
      <w:tblGrid>
        <w:gridCol w:w="2896"/>
        <w:gridCol w:w="7371"/>
      </w:tblGrid>
      <w:tr>
        <w:trPr/>
        <w:tc>
          <w:tcPr>
            <w:tcW w:w="2896" w:type="dxa"/>
            <w:textDirection w:val="lrTb"/>
            <w:noWrap w:val="false"/>
          </w:tcPr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b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/>
                <w:b/>
                <w:color w:val="000000"/>
                <w:sz w:val="25"/>
                <w:szCs w:val="26"/>
                <w:highlight w:val="none"/>
                <w:shd w:val="clear" w:fill="FFFFFF" w:color="auto"/>
              </w:rPr>
              <w:t xml:space="preserve">Наименование программы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737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Программа корпоративного здоровья для работников 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 сферы семьи и детства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 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2896" w:type="dxa"/>
            <w:textDirection w:val="lrTb"/>
            <w:noWrap w:val="false"/>
          </w:tcPr>
          <w:p>
            <w:pPr>
              <w:pStyle w:val="926"/>
              <w:ind w:left="0"/>
              <w:jc w:val="both"/>
              <w:rPr>
                <w:rFonts w:ascii="PT Astra Serif" w:hAnsi="PT Astra Serif" w:cs="Times New Roman"/>
                <w:b/>
                <w:color w:val="000000"/>
                <w:sz w:val="25"/>
                <w:szCs w:val="26"/>
                <w:highlight w:val="none"/>
                <w:shd w:val="clear" w:fill="FFFFFF" w:color="auto"/>
              </w:rPr>
            </w:pPr>
            <w:r>
              <w:rPr>
                <w:rFonts w:ascii="PT Astra Serif" w:hAnsi="PT Astra Serif" w:cs="Times New Roman"/>
                <w:b/>
                <w:color w:val="000000"/>
                <w:sz w:val="25"/>
                <w:szCs w:val="26"/>
                <w:highlight w:val="none"/>
                <w:shd w:val="clear" w:fill="FFFFFF" w:color="auto"/>
              </w:rPr>
              <w:t xml:space="preserve">Направление программы здоровья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7371" w:type="dxa"/>
            <w:textDirection w:val="lrTb"/>
            <w:noWrap w:val="false"/>
          </w:tcPr>
          <w:p>
            <w:pPr>
              <w:jc w:val="both"/>
              <w:shd w:val="clear" w:fill="FFFFFF" w:color="auto"/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Ф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ормирование у 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 навыков саморегуляции и управления собственным 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физическим 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и психоэмоциональным 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состоянием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2896" w:type="dxa"/>
            <w:textDirection w:val="lrTb"/>
            <w:noWrap w:val="false"/>
          </w:tcPr>
          <w:p>
            <w:pPr>
              <w:jc w:val="both"/>
              <w:shd w:val="clear" w:fill="FFFFFF" w:color="auto"/>
              <w:rPr>
                <w:rFonts w:ascii="PT Astra Serif" w:hAnsi="PT Astra Serif" w:cs="Times New Roman" w:eastAsia="Times New Roman"/>
                <w:b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/>
                <w:color w:val="000000"/>
                <w:sz w:val="25"/>
                <w:szCs w:val="26"/>
                <w:highlight w:val="none"/>
                <w:lang w:eastAsia="ru-RU"/>
              </w:rPr>
              <w:t xml:space="preserve">Сроки</w:t>
            </w:r>
            <w:r>
              <w:rPr>
                <w:rFonts w:ascii="PT Astra Serif" w:hAnsi="PT Astra Serif" w:cs="Times New Roman" w:eastAsia="Times New Roman"/>
                <w:b/>
                <w:color w:val="000000"/>
                <w:sz w:val="25"/>
                <w:szCs w:val="26"/>
                <w:highlight w:val="none"/>
                <w:lang w:eastAsia="ru-RU"/>
              </w:rPr>
              <w:t xml:space="preserve"> </w:t>
            </w:r>
            <w:r>
              <w:rPr>
                <w:rFonts w:ascii="PT Astra Serif" w:hAnsi="PT Astra Serif" w:cs="Times New Roman" w:eastAsia="Times New Roman"/>
                <w:b/>
                <w:color w:val="000000"/>
                <w:sz w:val="25"/>
                <w:szCs w:val="26"/>
                <w:highlight w:val="none"/>
                <w:lang w:eastAsia="ru-RU"/>
              </w:rPr>
              <w:t xml:space="preserve">реализации</w:t>
            </w:r>
            <w:r>
              <w:rPr>
                <w:rFonts w:ascii="PT Astra Serif" w:hAnsi="PT Astra Serif" w:cs="Times New Roman" w:eastAsia="Times New Roman"/>
                <w:b/>
                <w:color w:val="000000"/>
                <w:sz w:val="25"/>
                <w:szCs w:val="26"/>
                <w:highlight w:val="none"/>
                <w:lang w:eastAsia="ru-RU"/>
              </w:rPr>
              <w:t xml:space="preserve"> </w:t>
            </w:r>
            <w:r>
              <w:rPr>
                <w:rFonts w:ascii="PT Astra Serif" w:hAnsi="PT Astra Serif" w:cs="Times New Roman" w:eastAsia="Times New Roman"/>
                <w:b/>
                <w:color w:val="000000"/>
                <w:sz w:val="25"/>
                <w:szCs w:val="26"/>
                <w:highlight w:val="none"/>
                <w:lang w:eastAsia="ru-RU"/>
              </w:rPr>
              <w:t xml:space="preserve">программы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7371" w:type="dxa"/>
            <w:textDirection w:val="lrTb"/>
            <w:noWrap w:val="false"/>
          </w:tcPr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Устанавливаются учреждением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2896" w:type="dxa"/>
            <w:textDirection w:val="lrTb"/>
            <w:noWrap w:val="false"/>
          </w:tcPr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b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/>
                <w:b/>
                <w:color w:val="000000"/>
                <w:sz w:val="25"/>
                <w:szCs w:val="26"/>
                <w:highlight w:val="none"/>
                <w:shd w:val="clear" w:fill="FFFFFF" w:color="auto"/>
              </w:rPr>
              <w:t xml:space="preserve">Цель программы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7371" w:type="dxa"/>
            <w:textDirection w:val="lrTb"/>
            <w:noWrap w:val="false"/>
          </w:tcPr>
          <w:p>
            <w:pPr>
              <w:jc w:val="both"/>
              <w:shd w:val="clear" w:fill="FFFFFF" w:color="auto"/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Развитие и сохранение профессионального здоровья 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2896" w:type="dxa"/>
            <w:textDirection w:val="lrTb"/>
            <w:noWrap w:val="false"/>
          </w:tcPr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b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/>
                <w:b/>
                <w:color w:val="000000"/>
                <w:sz w:val="25"/>
                <w:szCs w:val="26"/>
                <w:highlight w:val="none"/>
                <w:shd w:val="clear" w:fill="FFFFFF" w:color="auto"/>
              </w:rPr>
              <w:t xml:space="preserve">Задачи программы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7371" w:type="dxa"/>
            <w:textDirection w:val="lrTb"/>
            <w:noWrap w:val="false"/>
          </w:tcPr>
          <w:p>
            <w:pPr>
              <w:jc w:val="both"/>
              <w:shd w:val="clear" w:fill="FFFFFF" w:color="auto"/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- 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п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овышение физической активности;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shd w:val="clear" w:fill="FFFFFF" w:color="auto"/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- 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с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оздание в учреждениях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 необходимых условий, способствующих повыше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нию приверженности работников к 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здоровому образу жизни, и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 сохранение психологического 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здоровья в процессе трудовой деятельности;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shd w:val="clear" w:fill="FFFFFF" w:color="auto"/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- 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выявление заболеваний на ранних стадиях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;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shd w:val="clear" w:fill="FFFFFF" w:color="auto"/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- снижение эмоционального выгорания работников;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shd w:val="clear" w:fill="FFFFFF" w:color="auto"/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- 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повышение профессионального благополучия и здоровья 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;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shd w:val="clear" w:fill="FFFFFF" w:color="auto"/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- профилактика стресса, депрессии, тревожных расстройств;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shd w:val="clear" w:fill="FFFFFF" w:color="auto"/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- 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повышение финансовой грамотности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>
          <w:trHeight w:val="3109"/>
        </w:trPr>
        <w:tc>
          <w:tcPr>
            <w:tcW w:w="2896" w:type="dxa"/>
            <w:textDirection w:val="lrTb"/>
            <w:noWrap w:val="false"/>
          </w:tcPr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b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/>
                <w:b/>
                <w:color w:val="000000"/>
                <w:sz w:val="25"/>
                <w:szCs w:val="26"/>
                <w:highlight w:val="none"/>
                <w:shd w:val="clear" w:fill="FFFFFF" w:color="auto"/>
              </w:rPr>
              <w:t xml:space="preserve">Ожидаемый результат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737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- п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овышение уровня психологического благополучия и снижение уровня эмоционального выгорания 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;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- увеличение доли 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, охваченных профилактическими мероприятиями по здоровому образу жизни (ЗОЖ);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- п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овышение уровня информированности 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 о здоровом образе жизни до 100%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;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- увеличение доли 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, питающихся рационально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;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- с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нижение числа случа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ев временной нетрудоспособности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;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- 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у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величение доли работников, занимающихся физической культурой постоянно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.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2896" w:type="dxa"/>
            <w:textDirection w:val="lrTb"/>
            <w:noWrap w:val="false"/>
          </w:tcPr>
          <w:p>
            <w:pPr>
              <w:jc w:val="both"/>
              <w:shd w:val="clear" w:fill="FFFFFF" w:color="auto"/>
              <w:rPr>
                <w:rFonts w:ascii="PT Astra Serif" w:hAnsi="PT Astra Serif" w:cs="Times New Roman" w:eastAsia="Times New Roman"/>
                <w:b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/>
                <w:color w:val="000000"/>
                <w:sz w:val="25"/>
                <w:szCs w:val="26"/>
                <w:highlight w:val="none"/>
                <w:lang w:eastAsia="ru-RU"/>
              </w:rPr>
              <w:t xml:space="preserve">Участники</w:t>
            </w:r>
            <w:r>
              <w:rPr>
                <w:rFonts w:ascii="PT Astra Serif" w:hAnsi="PT Astra Serif" w:cs="Times New Roman" w:eastAsia="Times New Roman"/>
                <w:b/>
                <w:color w:val="000000"/>
                <w:sz w:val="25"/>
                <w:szCs w:val="26"/>
                <w:highlight w:val="none"/>
                <w:lang w:eastAsia="ru-RU"/>
              </w:rPr>
              <w:t xml:space="preserve"> </w:t>
            </w:r>
            <w:r>
              <w:rPr>
                <w:rFonts w:ascii="PT Astra Serif" w:hAnsi="PT Astra Serif" w:cs="Times New Roman" w:eastAsia="Times New Roman"/>
                <w:b/>
                <w:color w:val="000000"/>
                <w:sz w:val="25"/>
                <w:szCs w:val="26"/>
                <w:highlight w:val="none"/>
                <w:lang w:eastAsia="ru-RU"/>
              </w:rPr>
              <w:t xml:space="preserve">реализации</w:t>
            </w:r>
            <w:r>
              <w:rPr>
                <w:rFonts w:ascii="PT Astra Serif" w:hAnsi="PT Astra Serif" w:cs="Times New Roman" w:eastAsia="Times New Roman"/>
                <w:b/>
                <w:color w:val="000000"/>
                <w:sz w:val="25"/>
                <w:szCs w:val="26"/>
                <w:highlight w:val="none"/>
                <w:lang w:eastAsia="ru-RU"/>
              </w:rPr>
              <w:t xml:space="preserve"> </w:t>
            </w:r>
            <w:r>
              <w:rPr>
                <w:rFonts w:ascii="PT Astra Serif" w:hAnsi="PT Astra Serif" w:cs="Times New Roman" w:eastAsia="Times New Roman"/>
                <w:b/>
                <w:color w:val="000000"/>
                <w:sz w:val="25"/>
                <w:szCs w:val="26"/>
                <w:highlight w:val="none"/>
                <w:lang w:eastAsia="ru-RU"/>
              </w:rPr>
              <w:t xml:space="preserve">программы</w:t>
            </w:r>
            <w:r>
              <w:rPr>
                <w:rFonts w:ascii="PT Astra Serif" w:hAnsi="PT Astra Serif" w:cs="Times New Roman" w:eastAsia="Times New Roman"/>
                <w:b/>
                <w:color w:val="000000"/>
                <w:sz w:val="25"/>
                <w:szCs w:val="26"/>
                <w:highlight w:val="none"/>
                <w:lang w:eastAsia="ru-RU"/>
              </w:rPr>
              <w:t xml:space="preserve"> 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7371" w:type="dxa"/>
            <w:textDirection w:val="lrTb"/>
            <w:noWrap w:val="false"/>
          </w:tcPr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 Организации сферы семьи и детства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.</w:t>
            </w:r>
            <w:r>
              <w:rPr>
                <w:rFonts w:ascii="PT Astra Serif" w:hAnsi="PT Astra Serif" w:cs="Times New Roman" w:eastAsia="Times New Roman"/>
                <w:color w:val="000000"/>
                <w:sz w:val="25"/>
                <w:szCs w:val="26"/>
                <w:highlight w:val="none"/>
                <w:lang w:eastAsia="ru-RU"/>
              </w:rPr>
              <w:t xml:space="preserve"> </w:t>
            </w:r>
            <w:r>
              <w:rPr>
                <w:sz w:val="25"/>
                <w:highlight w:val="none"/>
              </w:rPr>
            </w:r>
            <w:r/>
          </w:p>
        </w:tc>
      </w:tr>
    </w:tbl>
    <w:p>
      <w:pPr>
        <w:pStyle w:val="926"/>
        <w:spacing w:lineRule="auto" w:line="240" w:after="0"/>
        <w:shd w:val="clear" w:fill="FFFFFF" w:color="auto"/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right"/>
        <w:spacing w:lineRule="auto" w:line="240" w:after="0"/>
        <w:rPr>
          <w:rFonts w:ascii="PT Astra Serif" w:hAnsi="PT Astra Serif" w:cs="Times New Roman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  <w:t xml:space="preserve">«Продолжительность жизни измеряется годами, а её качество – здоровьем»  </w:t>
      </w:r>
      <w:r>
        <w:rPr>
          <w:sz w:val="25"/>
          <w:highlight w:val="none"/>
        </w:rPr>
      </w:r>
      <w:r/>
    </w:p>
    <w:p>
      <w:pPr>
        <w:ind w:left="-570" w:right="-285" w:firstLine="555"/>
        <w:jc w:val="right"/>
        <w:spacing w:lineRule="auto" w:line="240" w:after="0"/>
        <w:rPr>
          <w:rFonts w:ascii="PT Astra Serif" w:hAnsi="PT Astra Serif" w:cs="Times New Roman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  <w:t xml:space="preserve">- врач-психотерапевт Ю.А. Мерзляков. </w:t>
      </w:r>
      <w:r>
        <w:rPr>
          <w:sz w:val="25"/>
          <w:highlight w:val="none"/>
        </w:rPr>
      </w:r>
      <w:r/>
    </w:p>
    <w:p>
      <w:pPr>
        <w:ind w:left="-570" w:right="-285" w:firstLine="555"/>
        <w:spacing w:lineRule="auto" w:line="240" w:after="0"/>
        <w:rPr>
          <w:rFonts w:ascii="PT Astra Serif" w:hAnsi="PT Astra Serif" w:cs="Segoe UI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  <w:t xml:space="preserve"> </w:t>
      </w: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  <w:t xml:space="preserve"> </w:t>
      </w:r>
      <w:r>
        <w:rPr>
          <w:sz w:val="25"/>
          <w:highlight w:val="none"/>
        </w:rPr>
      </w:r>
      <w:r/>
    </w:p>
    <w:p>
      <w:pPr>
        <w:ind w:left="-570" w:right="-285" w:firstLine="555"/>
        <w:jc w:val="both"/>
        <w:spacing w:lineRule="auto" w:line="240" w:after="0"/>
        <w:rPr>
          <w:rFonts w:ascii="PT Astra Serif" w:hAnsi="PT Astra Serif" w:cs="Times New Roman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  <w:t xml:space="preserve"> Здоровье – это первая и важнейшая потребность человека, определяющая его способность к тру</w:t>
      </w: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  <w:t xml:space="preserve">ду и обеспечивающая гармоничное </w:t>
      </w: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  <w:t xml:space="preserve">развитие личности. </w:t>
      </w:r>
      <w:r>
        <w:rPr>
          <w:sz w:val="25"/>
          <w:highlight w:val="none"/>
        </w:rPr>
      </w:r>
      <w:r/>
    </w:p>
    <w:p>
      <w:pPr>
        <w:ind w:left="-570" w:right="-285" w:firstLine="555"/>
        <w:jc w:val="both"/>
        <w:spacing w:lineRule="auto" w:line="240" w:after="0"/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  <w:t xml:space="preserve">В последнее время особенно острой стала проблема сохранения физического, психического и социального здоровья работников сферы </w:t>
      </w: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  <w:t xml:space="preserve"> семьи и детства</w:t>
      </w: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  <w:t xml:space="preserve">.</w:t>
      </w:r>
      <w:r>
        <w:rPr>
          <w:sz w:val="25"/>
          <w:highlight w:val="none"/>
        </w:rPr>
      </w:r>
      <w:r/>
    </w:p>
    <w:p>
      <w:pPr>
        <w:ind w:left="-570" w:right="-285" w:firstLine="555"/>
        <w:jc w:val="both"/>
        <w:spacing w:lineRule="auto" w:line="240" w:after="0"/>
        <w:rPr>
          <w:rFonts w:ascii="PT Astra Serif" w:hAnsi="PT Astra Serif" w:cs="Times New Roman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shd w:val="clear" w:fill="FFFFFF" w:color="auto"/>
          <w:lang w:eastAsia="ru-RU"/>
        </w:rPr>
        <w:t xml:space="preserve">Результативность работы учреждения</w:t>
      </w: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shd w:val="clear" w:fill="FFFFFF" w:color="auto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shd w:val="clear" w:fill="FFFFFF" w:color="auto"/>
          <w:lang w:eastAsia="ru-RU"/>
        </w:rPr>
        <w:t xml:space="preserve">напрямую связана с состоянием здоровья ее сотрудников, следовательно, организация работы по сохранению и укреплению здоровья </w:t>
      </w: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shd w:val="clear" w:fill="FFFFFF" w:color="auto"/>
          <w:lang w:eastAsia="ru-RU"/>
        </w:rPr>
        <w:t xml:space="preserve">работников</w:t>
      </w: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shd w:val="clear" w:fill="FFFFFF" w:color="auto"/>
          <w:lang w:eastAsia="ru-RU"/>
        </w:rPr>
        <w:t xml:space="preserve"> является одной из наиболее актуальных задач современной системы образования. </w:t>
      </w: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  <w:t xml:space="preserve"> </w:t>
      </w:r>
      <w:r>
        <w:rPr>
          <w:sz w:val="25"/>
          <w:highlight w:val="none"/>
        </w:rPr>
      </w:r>
      <w:r/>
    </w:p>
    <w:p>
      <w:pPr>
        <w:ind w:left="-570" w:right="-285" w:firstLine="555"/>
        <w:jc w:val="both"/>
        <w:spacing w:lineRule="auto" w:line="240" w:after="0"/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pStyle w:val="926"/>
        <w:numPr>
          <w:ilvl w:val="0"/>
          <w:numId w:val="19"/>
        </w:numPr>
        <w:ind w:right="-285"/>
        <w:jc w:val="center"/>
        <w:spacing w:lineRule="auto" w:line="240" w:after="0"/>
        <w:rPr>
          <w:rFonts w:ascii="PT Astra Serif" w:hAnsi="PT Astra Serif" w:cs="Times New Roman" w:eastAsia="Times New Roman"/>
          <w:b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b/>
          <w:sz w:val="25"/>
          <w:szCs w:val="26"/>
          <w:highlight w:val="none"/>
          <w:lang w:eastAsia="ru-RU"/>
        </w:rPr>
        <w:t xml:space="preserve">Актуальность внедрения корпоративной программы здоровья в </w:t>
      </w:r>
      <w:r>
        <w:rPr>
          <w:rFonts w:ascii="PT Astra Serif" w:hAnsi="PT Astra Serif" w:cs="Times New Roman" w:eastAsia="Times New Roman"/>
          <w:b/>
          <w:sz w:val="25"/>
          <w:szCs w:val="26"/>
          <w:highlight w:val="none"/>
          <w:lang w:eastAsia="ru-RU"/>
        </w:rPr>
        <w:t xml:space="preserve">учреждения сферы семьи и детства </w:t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Times New Roman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both"/>
        <w:spacing w:lineRule="auto" w:line="240" w:after="0"/>
        <w:rPr>
          <w:rFonts w:ascii="PT Astra Serif" w:hAnsi="PT Astra Serif" w:cs="Times New Roman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Основными факторами риска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условий труда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р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аботников 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учреждений сферы семьи и детства 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являются: </w:t>
      </w:r>
      <w:r>
        <w:rPr>
          <w:sz w:val="25"/>
          <w:highlight w:val="none"/>
        </w:rPr>
      </w:r>
      <w:r/>
    </w:p>
    <w:p>
      <w:pPr>
        <w:ind w:left="-567" w:right="-285" w:firstLine="552"/>
        <w:jc w:val="both"/>
        <w:spacing w:lineRule="auto" w:line="240" w:after="0"/>
        <w:shd w:val="clear" w:fill="FFFFFF" w:color="auto"/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- </w:t>
      </w: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  <w:t xml:space="preserve">повышенное психоэмоциональное напряжение, приводящее к стрессу, профессиональным деформациям, эмоциональному выгоранию, психосоматическим и нервно-психическим заболеваниям;</w:t>
      </w:r>
      <w:r>
        <w:rPr>
          <w:sz w:val="25"/>
          <w:highlight w:val="none"/>
        </w:rPr>
      </w:r>
      <w:r/>
    </w:p>
    <w:p>
      <w:pPr>
        <w:ind w:left="-567" w:right="-285" w:firstLine="552"/>
        <w:jc w:val="both"/>
        <w:spacing w:lineRule="auto" w:line="240" w:after="0"/>
        <w:rPr>
          <w:rFonts w:ascii="PT Astra Serif" w:hAnsi="PT Astra Serif" w:cs="Times New Roman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- зна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чительная голосовая, зрительная 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нагрузка при выполнении профессиональных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обязанностей; </w:t>
      </w:r>
      <w:r>
        <w:rPr>
          <w:sz w:val="25"/>
          <w:highlight w:val="none"/>
        </w:rPr>
      </w:r>
      <w:r/>
    </w:p>
    <w:p>
      <w:pPr>
        <w:ind w:left="-570" w:right="-285" w:firstLine="555"/>
        <w:jc w:val="both"/>
        <w:spacing w:lineRule="auto" w:line="240" w:after="0"/>
        <w:rPr>
          <w:rFonts w:ascii="PT Astra Serif" w:hAnsi="PT Astra Serif" w:cs="Times New Roman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- преобладание в процессе трудовой деятельности статической нагрузки при незначительной общей мышечной и двигательной нагрузке; </w:t>
      </w:r>
      <w:r>
        <w:rPr>
          <w:sz w:val="25"/>
          <w:highlight w:val="none"/>
        </w:rPr>
      </w:r>
      <w:r/>
    </w:p>
    <w:p>
      <w:pPr>
        <w:ind w:left="-570" w:right="-285" w:firstLine="555"/>
        <w:jc w:val="both"/>
        <w:spacing w:lineRule="auto" w:line="240" w:after="0"/>
        <w:rPr>
          <w:rFonts w:ascii="PT Astra Serif" w:hAnsi="PT Astra Serif" w:cs="Times New Roman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- высокая плотность контактов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в условиях современной эпидемиологической обстановки. </w:t>
      </w:r>
      <w:r>
        <w:rPr>
          <w:sz w:val="25"/>
          <w:highlight w:val="none"/>
        </w:rPr>
      </w:r>
      <w:r/>
    </w:p>
    <w:p>
      <w:pPr>
        <w:ind w:left="-570" w:right="-285" w:firstLine="555"/>
        <w:jc w:val="both"/>
        <w:spacing w:lineRule="auto" w:line="240" w:after="0"/>
        <w:rPr>
          <w:rFonts w:ascii="PT Astra Serif" w:hAnsi="PT Astra Serif" w:cs="Times New Roman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Каждый из этих основных факторов риска может способствовать возникновению профессионально обусловленных видов патологии нервной, сердечно-сосудистой, дыхательной и других систем.</w:t>
      </w:r>
      <w:r>
        <w:rPr>
          <w:sz w:val="25"/>
          <w:highlight w:val="none"/>
        </w:rPr>
      </w:r>
      <w:r/>
    </w:p>
    <w:p>
      <w:pPr>
        <w:ind w:left="-570" w:right="-285" w:firstLine="555"/>
        <w:jc w:val="both"/>
        <w:spacing w:lineRule="auto" w:line="240" w:after="0"/>
        <w:rPr>
          <w:rFonts w:ascii="PT Astra Serif" w:hAnsi="PT Astra Serif" w:cs="Times New Roman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  <w:t xml:space="preserve">По</w:t>
      </w: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  <w:t xml:space="preserve"> научным </w:t>
      </w: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  <w:t xml:space="preserve">данным</w:t>
      </w: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Times New Roman"/>
          <w:color w:val="000000"/>
          <w:sz w:val="25"/>
          <w:szCs w:val="26"/>
          <w:highlight w:val="none"/>
          <w:shd w:val="clear" w:fill="FFFFFF" w:color="auto"/>
        </w:rPr>
        <w:t xml:space="preserve">доктора биологических наук, профессора </w:t>
      </w:r>
      <w:r>
        <w:rPr>
          <w:rFonts w:ascii="PT Astra Serif" w:hAnsi="PT Astra Serif" w:cs="Times New Roman" w:eastAsia="Times New Roman"/>
          <w:color w:val="000000"/>
          <w:sz w:val="25"/>
          <w:szCs w:val="26"/>
          <w:highlight w:val="none"/>
          <w:lang w:eastAsia="ru-RU"/>
        </w:rPr>
        <w:t xml:space="preserve">Э.М.Казина, 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у трети 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работников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 показатель степени социальной адаптации равен или ниже, чем у больных неврозами, 60% 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работников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 испытывают психологический дискомфорт во время работы, 85% находятся в постоянном стрессовом состоянии. Даже молодые 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работники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 имеют большое количество хронических заболеваний, ведущими из которых являются забол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евания органов дыхания (71,2%), 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сердечно-сосудистой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системы (63%), хронические ларингиты (46%), 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вегетососудистая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 дистония (72,1%). </w:t>
      </w:r>
      <w:r>
        <w:rPr>
          <w:sz w:val="25"/>
          <w:highlight w:val="none"/>
        </w:rPr>
      </w:r>
      <w:r/>
    </w:p>
    <w:p>
      <w:pPr>
        <w:ind w:left="-570" w:right="-285" w:firstLine="555"/>
        <w:jc w:val="both"/>
        <w:spacing w:lineRule="auto" w:line="240" w:after="0"/>
        <w:rPr>
          <w:rFonts w:ascii="PT Astra Serif" w:hAnsi="PT Astra Serif" w:cs="Times New Roman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Нарушения в нервно-психическом здоровье вследствие воздействия вредных факторов имеют более 35% 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работников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 после 10 лет работы, 40% - после 15 лет стажа работы и более 50% 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работников</w:t>
      </w: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  <w:t xml:space="preserve"> после 20 лет стажа работы.</w:t>
      </w:r>
      <w:r>
        <w:rPr>
          <w:sz w:val="25"/>
          <w:highlight w:val="none"/>
        </w:rPr>
      </w:r>
      <w:r/>
    </w:p>
    <w:p>
      <w:pPr>
        <w:ind w:left="-570" w:right="-285" w:firstLine="555"/>
        <w:jc w:val="both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  <w:t xml:space="preserve"> </w:t>
      </w:r>
      <w:r>
        <w:rPr>
          <w:sz w:val="25"/>
          <w:highlight w:val="none"/>
        </w:rPr>
      </w:r>
      <w:r/>
    </w:p>
    <w:p>
      <w:pPr>
        <w:ind w:left="-570" w:right="-285" w:firstLine="555"/>
        <w:jc w:val="both"/>
        <w:spacing w:lineRule="auto" w:line="240" w:after="0"/>
        <w:rPr>
          <w:rFonts w:ascii="PT Astra Serif" w:hAnsi="PT Astra Serif" w:cs="Arial" w:eastAsia="Times New Roman"/>
          <w:color w:val="000000"/>
          <w:sz w:val="25"/>
          <w:szCs w:val="26"/>
          <w:highlight w:val="none"/>
        </w:rPr>
      </w:pPr>
      <w:r>
        <w:rPr>
          <w:rFonts w:ascii="PT Astra Serif" w:hAnsi="PT Astra Serif" w:cs="Arial" w:eastAsia="Times New Roman"/>
          <w:color w:val="000000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both"/>
        <w:spacing w:lineRule="auto" w:line="240" w:after="0"/>
        <w:rPr>
          <w:rFonts w:ascii="PT Astra Serif" w:hAnsi="PT Astra Serif" w:cs="Segoe UI" w:eastAsia="Times New Roman"/>
          <w:sz w:val="25"/>
          <w:szCs w:val="26"/>
          <w:highlight w:val="none"/>
        </w:rPr>
      </w:pPr>
      <w:r>
        <w:rPr>
          <w:rFonts w:ascii="PT Astra Serif" w:hAnsi="PT Astra Serif" w:cs="Segoe UI" w:eastAsia="Times New Roman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-570" w:right="-285" w:firstLine="555"/>
        <w:jc w:val="both"/>
        <w:spacing w:lineRule="auto" w:line="240" w:after="0"/>
        <w:rPr>
          <w:rFonts w:ascii="PT Astra Serif" w:hAnsi="PT Astra Serif" w:cs="Segoe UI" w:eastAsia="Times New Roman"/>
          <w:sz w:val="25"/>
          <w:szCs w:val="26"/>
          <w:highlight w:val="none"/>
        </w:rPr>
      </w:pPr>
      <w:r>
        <w:rPr>
          <w:rFonts w:ascii="PT Astra Serif" w:hAnsi="PT Astra Serif" w:cs="Segoe UI" w:eastAsia="Times New Roman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pStyle w:val="926"/>
        <w:numPr>
          <w:ilvl w:val="0"/>
          <w:numId w:val="19"/>
        </w:numPr>
        <w:ind w:right="-285"/>
        <w:jc w:val="center"/>
        <w:spacing w:lineRule="auto" w:line="240" w:after="0"/>
        <w:rPr>
          <w:rFonts w:ascii="PT Astra Serif" w:hAnsi="PT Astra Serif" w:cs="Times New Roman" w:eastAsia="Times New Roman"/>
          <w:b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b/>
          <w:sz w:val="25"/>
          <w:szCs w:val="26"/>
          <w:highlight w:val="none"/>
          <w:lang w:eastAsia="ru-RU"/>
        </w:rPr>
        <w:t xml:space="preserve">Ход реализации</w:t>
      </w:r>
      <w:r>
        <w:rPr>
          <w:rFonts w:ascii="PT Astra Serif" w:hAnsi="PT Astra Serif" w:cs="Times New Roman" w:eastAsia="Times New Roman"/>
          <w:b/>
          <w:sz w:val="25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b/>
          <w:sz w:val="25"/>
          <w:szCs w:val="26"/>
          <w:highlight w:val="none"/>
          <w:lang w:eastAsia="ru-RU"/>
        </w:rPr>
        <w:t xml:space="preserve">к</w:t>
      </w:r>
      <w:r>
        <w:rPr>
          <w:rFonts w:ascii="PT Astra Serif" w:hAnsi="PT Astra Serif" w:cs="Times New Roman" w:eastAsia="Times New Roman"/>
          <w:b/>
          <w:sz w:val="25"/>
          <w:szCs w:val="26"/>
          <w:highlight w:val="none"/>
          <w:lang w:eastAsia="ru-RU"/>
        </w:rPr>
        <w:t xml:space="preserve">орпоративной программы здоровья </w:t>
      </w:r>
      <w:r>
        <w:rPr>
          <w:sz w:val="25"/>
          <w:highlight w:val="none"/>
        </w:rPr>
      </w:r>
      <w:r/>
    </w:p>
    <w:tbl>
      <w:tblPr>
        <w:tblStyle w:val="927"/>
        <w:tblpPr w:horzAnchor="margin" w:tblpXSpec="center" w:vertAnchor="text" w:tblpY="117" w:leftFromText="180" w:topFromText="0" w:rightFromText="180" w:bottomFromText="0"/>
        <w:tblW w:w="9889" w:type="dxa"/>
        <w:tblLook w:val="04A0" w:firstRow="1" w:lastRow="0" w:firstColumn="1" w:lastColumn="0" w:noHBand="0" w:noVBand="1"/>
      </w:tblPr>
      <w:tblGrid>
        <w:gridCol w:w="4673"/>
        <w:gridCol w:w="5216"/>
      </w:tblGrid>
      <w:tr>
        <w:trPr/>
        <w:tc>
          <w:tcPr>
            <w:tcW w:w="4673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  <w:t xml:space="preserve">Этап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21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  <w:t xml:space="preserve">Реализация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4673" w:type="dxa"/>
            <w:vMerge w:val="restart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  <w:t xml:space="preserve">1 ЭТАП </w:t>
            </w:r>
            <w:r>
              <w:rPr>
                <w:sz w:val="25"/>
                <w:highlight w:val="none"/>
              </w:rPr>
            </w:r>
            <w:r/>
          </w:p>
          <w:p>
            <w:pPr>
              <w:contextualSpacing w:val="true"/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  <w:t xml:space="preserve">Планирование корпоративной программы здоровья 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216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  <w:t xml:space="preserve">Анализ ситуации и выбор приоритетов 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>
          <w:trHeight w:val="350"/>
        </w:trPr>
        <w:tc>
          <w:tcPr>
            <w:tcW w:w="4673" w:type="dxa"/>
            <w:vMerge w:val="continue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 w:cs="Times New Roman" w:eastAsia="Calibri"/>
                <w:sz w:val="26"/>
                <w:szCs w:val="26"/>
              </w:rPr>
            </w:pPr>
            <w:r>
              <w:rPr>
                <w:rFonts w:ascii="PT Astra Serif" w:hAnsi="PT Astra Serif" w:cs="Times New Roman" w:eastAsia="Calibri"/>
                <w:sz w:val="26"/>
                <w:szCs w:val="26"/>
              </w:rPr>
            </w:r>
            <w:r/>
          </w:p>
        </w:tc>
        <w:tc>
          <w:tcPr>
            <w:tcW w:w="5216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  <w:t xml:space="preserve">Определение ресурсов учреждений сферы семьи и детства</w:t>
            </w:r>
            <w:r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  <w:t xml:space="preserve">, потребностей и мотивации для участников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>
          <w:trHeight w:val="501"/>
        </w:trPr>
        <w:tc>
          <w:tcPr>
            <w:tcW w:w="4673" w:type="dxa"/>
            <w:vMerge w:val="continue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 w:cs="Times New Roman" w:eastAsia="Calibri"/>
                <w:sz w:val="26"/>
                <w:szCs w:val="26"/>
              </w:rPr>
            </w:pPr>
            <w:r>
              <w:rPr>
                <w:rFonts w:ascii="PT Astra Serif" w:hAnsi="PT Astra Serif" w:cs="Times New Roman" w:eastAsia="Calibri"/>
                <w:sz w:val="26"/>
                <w:szCs w:val="26"/>
              </w:rPr>
            </w:r>
            <w:r/>
          </w:p>
        </w:tc>
        <w:tc>
          <w:tcPr>
            <w:tcW w:w="5216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  <w:t xml:space="preserve">Разработка модулей и мероприятий для их реализации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>
          <w:trHeight w:val="501"/>
        </w:trPr>
        <w:tc>
          <w:tcPr>
            <w:tcW w:w="4673" w:type="dxa"/>
            <w:vMerge w:val="continue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 w:cs="Times New Roman" w:eastAsia="Calibri"/>
                <w:sz w:val="26"/>
                <w:szCs w:val="26"/>
              </w:rPr>
            </w:pPr>
            <w:r>
              <w:rPr>
                <w:rFonts w:ascii="PT Astra Serif" w:hAnsi="PT Astra Serif" w:cs="Times New Roman" w:eastAsia="Calibri"/>
                <w:sz w:val="26"/>
                <w:szCs w:val="26"/>
              </w:rPr>
            </w:r>
            <w:r/>
          </w:p>
        </w:tc>
        <w:tc>
          <w:tcPr>
            <w:tcW w:w="5216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Разработка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 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индикаторов оценки процесса и результата, критериев их оценки и определение механизма мониторинга, сроков (периодичности) оценки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>
          <w:trHeight w:val="501"/>
        </w:trPr>
        <w:tc>
          <w:tcPr>
            <w:tcW w:w="4673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  <w:t xml:space="preserve">2 ЭТАП</w:t>
            </w:r>
            <w:r>
              <w:rPr>
                <w:sz w:val="25"/>
                <w:highlight w:val="none"/>
              </w:rPr>
            </w:r>
            <w:r/>
          </w:p>
          <w:p>
            <w:pPr>
              <w:contextualSpacing w:val="true"/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  <w:t xml:space="preserve">Реализация плана действий и мероприятий корпоративной программы здоровья 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216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  <w:t xml:space="preserve">Реализация мероприятий программы здоровья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4673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  <w:t xml:space="preserve">3 ЭТАП</w:t>
            </w:r>
            <w:r>
              <w:rPr>
                <w:sz w:val="25"/>
                <w:highlight w:val="none"/>
              </w:rPr>
            </w:r>
            <w:r/>
          </w:p>
          <w:p>
            <w:pPr>
              <w:contextualSpacing w:val="true"/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  <w:t xml:space="preserve">Мониторинг и оценка эффективности корпоративной программы здоровья 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216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  <w:t xml:space="preserve">Оценка эффективности программы по разработанным критериям и срокам запланированного эффекта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4673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  <w:t xml:space="preserve">4 ЭТАП</w:t>
            </w:r>
            <w:r>
              <w:rPr>
                <w:sz w:val="25"/>
                <w:highlight w:val="none"/>
              </w:rPr>
            </w:r>
            <w:r/>
          </w:p>
          <w:p>
            <w:pPr>
              <w:contextualSpacing w:val="true"/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  <w:t xml:space="preserve">Улучшение и коррекция мероприятий корпоративной программы здоровья 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216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Calibri"/>
                <w:sz w:val="25"/>
                <w:szCs w:val="26"/>
                <w:highlight w:val="none"/>
              </w:rPr>
              <w:t xml:space="preserve">Подведение итогов реализации программы, совершенствование программы</w:t>
            </w:r>
            <w:r>
              <w:rPr>
                <w:sz w:val="25"/>
                <w:highlight w:val="none"/>
              </w:rPr>
            </w:r>
            <w:r/>
          </w:p>
        </w:tc>
      </w:tr>
    </w:tbl>
    <w:p>
      <w:pPr>
        <w:ind w:left="-570" w:right="-285" w:firstLine="555"/>
        <w:jc w:val="center"/>
        <w:spacing w:lineRule="auto" w:line="240" w:after="0"/>
        <w:rPr>
          <w:rFonts w:ascii="PT Astra Serif" w:hAnsi="PT Astra Serif" w:cs="Times New Roman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ind w:left="360"/>
        <w:jc w:val="center"/>
        <w:spacing w:lineRule="auto" w:line="240" w:after="0"/>
        <w:rPr>
          <w:rFonts w:ascii="PT Astra Serif" w:hAnsi="PT Astra Serif" w:cs="Times New Roman" w:eastAsia="Calibri"/>
          <w:b/>
          <w:sz w:val="25"/>
          <w:szCs w:val="26"/>
          <w:highlight w:val="none"/>
        </w:rPr>
      </w:pPr>
      <w:r>
        <w:rPr>
          <w:rFonts w:ascii="PT Astra Serif" w:hAnsi="PT Astra Serif" w:cs="Times New Roman" w:eastAsia="Calibri"/>
          <w:b/>
          <w:sz w:val="25"/>
          <w:szCs w:val="26"/>
          <w:highlight w:val="none"/>
        </w:rPr>
      </w:r>
      <w:r>
        <w:rPr>
          <w:sz w:val="25"/>
          <w:highlight w:val="none"/>
        </w:rPr>
      </w:r>
      <w:r/>
    </w:p>
    <w:p>
      <w:pPr>
        <w:pStyle w:val="926"/>
        <w:numPr>
          <w:ilvl w:val="0"/>
          <w:numId w:val="19"/>
        </w:numPr>
        <w:ind w:left="-567" w:right="-284" w:firstLine="567"/>
        <w:jc w:val="center"/>
        <w:spacing w:lineRule="auto" w:line="240" w:after="0"/>
        <w:rPr>
          <w:rFonts w:ascii="PT Astra Serif" w:hAnsi="PT Astra Serif" w:cs="Times New Roman" w:eastAsia="Calibri"/>
          <w:b/>
          <w:sz w:val="25"/>
          <w:szCs w:val="26"/>
          <w:highlight w:val="none"/>
        </w:rPr>
      </w:pPr>
      <w:r>
        <w:rPr>
          <w:rFonts w:ascii="PT Astra Serif" w:hAnsi="PT Astra Serif" w:cs="Times New Roman" w:eastAsia="Calibri"/>
          <w:b/>
          <w:sz w:val="25"/>
          <w:szCs w:val="26"/>
          <w:highlight w:val="none"/>
        </w:rPr>
        <w:t xml:space="preserve">Анализ ситуации и выбор приоритетов учреждения</w:t>
      </w:r>
      <w:r>
        <w:rPr>
          <w:sz w:val="25"/>
          <w:highlight w:val="none"/>
        </w:rPr>
      </w:r>
      <w:r/>
    </w:p>
    <w:p>
      <w:pPr>
        <w:ind w:left="-567" w:right="-284" w:firstLine="567"/>
        <w:jc w:val="both"/>
        <w:spacing w:lineRule="auto" w:line="240" w:after="0"/>
        <w:rPr>
          <w:rFonts w:ascii="PT Astra Serif" w:hAnsi="PT Astra Serif" w:cs="ArialMT"/>
          <w:sz w:val="25"/>
          <w:szCs w:val="26"/>
          <w:highlight w:val="none"/>
        </w:rPr>
      </w:pPr>
      <w:r>
        <w:rPr>
          <w:rFonts w:ascii="PT Astra Serif" w:hAnsi="PT Astra Serif" w:cs="ArialMT"/>
          <w:sz w:val="25"/>
          <w:szCs w:val="26"/>
          <w:highlight w:val="none"/>
        </w:rPr>
        <w:t xml:space="preserve">Основными позициями, которые необходимо оценить, прежде чем планировать мероприятия программ</w:t>
      </w:r>
      <w:r>
        <w:rPr>
          <w:rFonts w:ascii="PT Astra Serif" w:hAnsi="PT Astra Serif" w:cs="ArialMT"/>
          <w:sz w:val="25"/>
          <w:szCs w:val="26"/>
          <w:highlight w:val="none"/>
        </w:rPr>
        <w:t xml:space="preserve">ы</w:t>
      </w:r>
      <w:r>
        <w:rPr>
          <w:rFonts w:ascii="PT Astra Serif" w:hAnsi="PT Astra Serif" w:cs="ArialMT"/>
          <w:sz w:val="25"/>
          <w:szCs w:val="26"/>
          <w:highlight w:val="none"/>
        </w:rPr>
        <w:t xml:space="preserve">, являются:</w:t>
      </w:r>
      <w:r>
        <w:rPr>
          <w:sz w:val="25"/>
          <w:highlight w:val="none"/>
        </w:rPr>
      </w:r>
      <w:r/>
    </w:p>
    <w:p>
      <w:pPr>
        <w:ind w:left="-567" w:right="-284" w:firstLine="567"/>
        <w:jc w:val="both"/>
        <w:spacing w:lineRule="auto" w:line="240" w:after="0"/>
        <w:tabs>
          <w:tab w:val="left" w:pos="142" w:leader="none"/>
        </w:tabs>
        <w:rPr>
          <w:rFonts w:ascii="PT Astra Serif" w:hAnsi="PT Astra Serif" w:cs="ArialMT"/>
          <w:sz w:val="25"/>
          <w:szCs w:val="26"/>
          <w:highlight w:val="none"/>
        </w:rPr>
      </w:pPr>
      <w:r>
        <w:rPr>
          <w:rFonts w:ascii="PT Astra Serif" w:hAnsi="PT Astra Serif" w:cs="ArialMT"/>
          <w:sz w:val="25"/>
          <w:szCs w:val="26"/>
          <w:highlight w:val="none"/>
        </w:rPr>
        <w:t xml:space="preserve">• анализ показателей здоровья работников </w:t>
      </w:r>
      <w:r>
        <w:rPr>
          <w:rFonts w:ascii="PT Astra Serif" w:hAnsi="PT Astra Serif" w:cs="Times New Roman" w:eastAsia="Calibri"/>
          <w:sz w:val="25"/>
          <w:szCs w:val="26"/>
          <w:highlight w:val="none"/>
        </w:rPr>
        <w:t xml:space="preserve">сферы семьи и детства</w:t>
      </w:r>
      <w:r>
        <w:rPr>
          <w:rFonts w:ascii="PT Astra Serif" w:hAnsi="PT Astra Serif" w:cs="ArialMT"/>
          <w:sz w:val="25"/>
          <w:szCs w:val="26"/>
          <w:highlight w:val="none"/>
        </w:rPr>
        <w:t xml:space="preserve"> по доступным источникам (медицинским заключениям по результатам </w:t>
      </w:r>
      <w:r>
        <w:rPr>
          <w:rFonts w:ascii="PT Astra Serif" w:hAnsi="PT Astra Serif" w:cs="ArialMT"/>
          <w:sz w:val="25"/>
          <w:szCs w:val="26"/>
          <w:highlight w:val="none"/>
        </w:rPr>
        <w:t xml:space="preserve">периодического медицинского осмотра, медицинским картам)</w:t>
      </w:r>
      <w:r>
        <w:rPr>
          <w:rFonts w:ascii="PT Astra Serif" w:hAnsi="PT Astra Serif" w:cs="ArialMT"/>
          <w:sz w:val="25"/>
          <w:szCs w:val="26"/>
          <w:highlight w:val="none"/>
        </w:rPr>
        <w:t xml:space="preserve">; </w:t>
      </w:r>
      <w:r>
        <w:rPr>
          <w:sz w:val="25"/>
          <w:highlight w:val="none"/>
        </w:rPr>
      </w:r>
      <w:r/>
    </w:p>
    <w:p>
      <w:pPr>
        <w:ind w:left="-567" w:right="-284" w:firstLine="567"/>
        <w:jc w:val="both"/>
        <w:spacing w:lineRule="auto" w:line="240" w:after="0"/>
        <w:tabs>
          <w:tab w:val="left" w:pos="142" w:leader="none"/>
        </w:tabs>
        <w:rPr>
          <w:rFonts w:ascii="PT Astra Serif" w:hAnsi="PT Astra Serif" w:cs="ArialMT"/>
          <w:sz w:val="25"/>
          <w:szCs w:val="26"/>
          <w:highlight w:val="none"/>
        </w:rPr>
      </w:pPr>
      <w:r>
        <w:rPr>
          <w:rFonts w:ascii="PT Astra Serif" w:hAnsi="PT Astra Serif" w:cs="ArialMT"/>
          <w:sz w:val="25"/>
          <w:szCs w:val="26"/>
          <w:highlight w:val="none"/>
        </w:rPr>
        <w:t xml:space="preserve">• оценка производственных и средовых факторов, влияющих на здоровье работников;</w:t>
      </w:r>
      <w:r>
        <w:rPr>
          <w:sz w:val="25"/>
          <w:highlight w:val="none"/>
        </w:rPr>
      </w:r>
      <w:r/>
    </w:p>
    <w:p>
      <w:pPr>
        <w:ind w:left="-567" w:right="-284" w:firstLine="567"/>
        <w:jc w:val="both"/>
        <w:spacing w:lineRule="auto" w:line="240" w:after="0"/>
        <w:tabs>
          <w:tab w:val="left" w:pos="142" w:leader="none"/>
        </w:tabs>
        <w:rPr>
          <w:rFonts w:ascii="PT Astra Serif" w:hAnsi="PT Astra Serif" w:cs="ArialMT"/>
          <w:sz w:val="25"/>
          <w:szCs w:val="26"/>
          <w:highlight w:val="none"/>
        </w:rPr>
      </w:pPr>
      <w:r>
        <w:rPr>
          <w:rFonts w:ascii="PT Astra Serif" w:hAnsi="PT Astra Serif" w:cs="ArialMT"/>
          <w:sz w:val="25"/>
          <w:szCs w:val="26"/>
          <w:highlight w:val="none"/>
        </w:rPr>
        <w:t xml:space="preserve">• </w:t>
      </w:r>
      <w:r>
        <w:rPr>
          <w:rFonts w:ascii="PT Astra Serif" w:hAnsi="PT Astra Serif" w:cs="ArialMT"/>
          <w:sz w:val="25"/>
          <w:szCs w:val="26"/>
          <w:highlight w:val="none"/>
        </w:rPr>
        <w:t xml:space="preserve">оценка потребности работников (отношение, информированность и частота поведенческих факторов риска);</w:t>
      </w:r>
      <w:r>
        <w:rPr>
          <w:sz w:val="25"/>
          <w:highlight w:val="none"/>
        </w:rPr>
      </w:r>
      <w:r/>
    </w:p>
    <w:p>
      <w:pPr>
        <w:ind w:left="-567" w:right="-284" w:firstLine="567"/>
        <w:jc w:val="both"/>
        <w:spacing w:lineRule="auto" w:line="240" w:after="0"/>
        <w:tabs>
          <w:tab w:val="left" w:pos="142" w:leader="none"/>
        </w:tabs>
        <w:rPr>
          <w:rFonts w:ascii="PT Astra Serif" w:hAnsi="PT Astra Serif" w:cs="ArialMT"/>
          <w:sz w:val="25"/>
          <w:szCs w:val="26"/>
          <w:highlight w:val="none"/>
        </w:rPr>
      </w:pPr>
      <w:r>
        <w:rPr>
          <w:rFonts w:ascii="PT Astra Serif" w:hAnsi="PT Astra Serif" w:cs="ArialMT"/>
          <w:sz w:val="25"/>
          <w:szCs w:val="26"/>
          <w:highlight w:val="none"/>
        </w:rPr>
        <w:t xml:space="preserve">• </w:t>
      </w:r>
      <w:r>
        <w:rPr>
          <w:rFonts w:ascii="PT Astra Serif" w:hAnsi="PT Astra Serif" w:cs="ArialMT"/>
          <w:sz w:val="25"/>
          <w:szCs w:val="26"/>
          <w:highlight w:val="none"/>
        </w:rPr>
        <w:t xml:space="preserve">оценка потенциальных ресурсов для реализации программы (кадры, финансы, организационные ресурсы и др.).</w:t>
      </w:r>
      <w:r>
        <w:rPr>
          <w:sz w:val="25"/>
          <w:highlight w:val="none"/>
        </w:rPr>
      </w:r>
      <w:r/>
    </w:p>
    <w:p>
      <w:pPr>
        <w:ind w:left="-567" w:right="-284" w:firstLine="567"/>
        <w:jc w:val="both"/>
        <w:spacing w:lineRule="auto" w:line="240" w:after="0"/>
        <w:rPr>
          <w:rFonts w:ascii="PT Astra Serif" w:hAnsi="PT Astra Serif" w:cs="Times New Roman" w:eastAsia="Calibri"/>
          <w:b/>
          <w:sz w:val="25"/>
          <w:szCs w:val="26"/>
          <w:highlight w:val="none"/>
        </w:rPr>
      </w:pPr>
      <w:r>
        <w:rPr>
          <w:rFonts w:ascii="PT Astra Serif" w:hAnsi="PT Astra Serif" w:cs="Times New Roman" w:eastAsia="Calibri"/>
          <w:b/>
          <w:sz w:val="25"/>
          <w:szCs w:val="26"/>
          <w:highlight w:val="none"/>
        </w:rPr>
      </w:r>
      <w:r>
        <w:rPr>
          <w:sz w:val="25"/>
          <w:highlight w:val="none"/>
        </w:rPr>
      </w:r>
      <w:r/>
    </w:p>
    <w:p>
      <w:pPr>
        <w:pStyle w:val="926"/>
        <w:numPr>
          <w:ilvl w:val="0"/>
          <w:numId w:val="19"/>
        </w:numPr>
        <w:ind w:right="-285"/>
        <w:jc w:val="center"/>
        <w:spacing w:lineRule="auto" w:line="240" w:after="0"/>
        <w:rPr>
          <w:rFonts w:ascii="PT Astra Serif" w:hAnsi="PT Astra Serif" w:cs="Times New Roman" w:eastAsia="Times New Roman"/>
          <w:b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b/>
          <w:sz w:val="25"/>
          <w:szCs w:val="26"/>
          <w:highlight w:val="none"/>
          <w:lang w:eastAsia="ru-RU"/>
        </w:rPr>
        <w:t xml:space="preserve">Необходимы</w:t>
      </w:r>
      <w:r>
        <w:rPr>
          <w:rFonts w:ascii="PT Astra Serif" w:hAnsi="PT Astra Serif" w:cs="Times New Roman" w:eastAsia="Times New Roman"/>
          <w:b/>
          <w:sz w:val="25"/>
          <w:szCs w:val="26"/>
          <w:highlight w:val="none"/>
          <w:lang w:eastAsia="ru-RU"/>
        </w:rPr>
        <w:t xml:space="preserve">е</w:t>
      </w:r>
      <w:r>
        <w:rPr>
          <w:rFonts w:ascii="PT Astra Serif" w:hAnsi="PT Astra Serif" w:cs="Times New Roman" w:eastAsia="Times New Roman"/>
          <w:b/>
          <w:sz w:val="25"/>
          <w:szCs w:val="26"/>
          <w:highlight w:val="none"/>
          <w:lang w:eastAsia="ru-RU"/>
        </w:rPr>
        <w:t xml:space="preserve"> ресурсы для реализации программы</w:t>
      </w:r>
      <w:r>
        <w:rPr>
          <w:sz w:val="25"/>
          <w:highlight w:val="none"/>
        </w:rPr>
      </w:r>
      <w:r/>
    </w:p>
    <w:p>
      <w:pPr>
        <w:ind w:left="-570" w:right="-285" w:firstLine="555"/>
        <w:jc w:val="center"/>
        <w:spacing w:lineRule="auto" w:line="240" w:after="0"/>
        <w:rPr>
          <w:rFonts w:ascii="PT Astra Serif" w:hAnsi="PT Astra Serif" w:cs="Times New Roman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tbl>
      <w:tblPr>
        <w:tblStyle w:val="927"/>
        <w:tblW w:w="10178" w:type="dxa"/>
        <w:tblInd w:w="-431" w:type="dxa"/>
        <w:tblLook w:val="04A0" w:firstRow="1" w:lastRow="0" w:firstColumn="1" w:lastColumn="0" w:noHBand="0" w:noVBand="1"/>
      </w:tblPr>
      <w:tblGrid>
        <w:gridCol w:w="2269"/>
        <w:gridCol w:w="7909"/>
      </w:tblGrid>
      <w:tr>
        <w:trPr/>
        <w:tc>
          <w:tcPr>
            <w:tcW w:w="2269" w:type="dxa"/>
            <w:textDirection w:val="lrTb"/>
            <w:noWrap w:val="false"/>
          </w:tcPr>
          <w:p>
            <w:pPr>
              <w:ind w:right="-285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Кадровые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79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Специалисты, которые будут задействованы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 в работе над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программой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 (психолог,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медицинский работник,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 специалист по физической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культуре и др.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)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2269" w:type="dxa"/>
            <w:textDirection w:val="lrTb"/>
            <w:noWrap w:val="false"/>
          </w:tcPr>
          <w:p>
            <w:pPr>
              <w:ind w:right="-285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Финансовые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79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Средства бюджета (федерального, регионального), внебюджетные источники, средства от профсоюзной организации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2269" w:type="dxa"/>
            <w:textDirection w:val="lrTb"/>
            <w:noWrap w:val="false"/>
          </w:tcPr>
          <w:p>
            <w:pPr>
              <w:ind w:right="-285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Материально-технические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79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Методические рекомендации, тесты, опросные листы, плакаты, буклеты,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спортивное оборудование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и др.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2269" w:type="dxa"/>
            <w:textDirection w:val="lrTb"/>
            <w:noWrap w:val="false"/>
          </w:tcPr>
          <w:p>
            <w:pPr>
              <w:ind w:right="-285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Информационные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79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Информационно-телекоммуникационная сеть «Интернет»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,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мессенджеры, социальные сети, корпоративная электронная почта, официальный сайт учреждения,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телефонная связь</w:t>
            </w:r>
            <w:r>
              <w:rPr>
                <w:sz w:val="25"/>
                <w:highlight w:val="none"/>
              </w:rPr>
            </w:r>
            <w:r/>
          </w:p>
        </w:tc>
      </w:tr>
    </w:tbl>
    <w:p>
      <w:pPr>
        <w:ind w:left="-570" w:right="-285" w:firstLine="555"/>
        <w:jc w:val="center"/>
        <w:spacing w:lineRule="auto" w:line="240" w:after="0"/>
        <w:rPr>
          <w:rFonts w:ascii="PT Astra Serif" w:hAnsi="PT Astra Serif" w:cs="Times New Roman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pStyle w:val="926"/>
        <w:numPr>
          <w:ilvl w:val="0"/>
          <w:numId w:val="19"/>
        </w:numPr>
        <w:ind w:right="-285"/>
        <w:jc w:val="center"/>
        <w:spacing w:lineRule="auto" w:line="240" w:after="0"/>
        <w:rPr>
          <w:rFonts w:ascii="PT Astra Serif" w:hAnsi="PT Astra Serif" w:cs="Times New Roman" w:eastAsia="Times New Roman"/>
          <w:b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b/>
          <w:sz w:val="25"/>
          <w:szCs w:val="26"/>
          <w:highlight w:val="none"/>
          <w:lang w:eastAsia="ru-RU"/>
        </w:rPr>
        <w:t xml:space="preserve">Мотивация участия в программе</w:t>
      </w:r>
      <w:r>
        <w:rPr>
          <w:sz w:val="25"/>
          <w:highlight w:val="none"/>
        </w:rPr>
      </w:r>
      <w:r/>
    </w:p>
    <w:p>
      <w:pPr>
        <w:pStyle w:val="926"/>
        <w:ind w:right="-285"/>
        <w:spacing w:lineRule="auto" w:line="240" w:after="0"/>
        <w:rPr>
          <w:rFonts w:ascii="PT Astra Serif" w:hAnsi="PT Astra Serif" w:cs="Times New Roman" w:eastAsia="Times New Roman"/>
          <w:b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b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tbl>
      <w:tblPr>
        <w:tblStyle w:val="927"/>
        <w:tblW w:w="10320" w:type="dxa"/>
        <w:tblInd w:w="-431" w:type="dxa"/>
        <w:tblLook w:val="04A0" w:firstRow="1" w:lastRow="0" w:firstColumn="1" w:lastColumn="0" w:noHBand="0" w:noVBand="1"/>
      </w:tblPr>
      <w:tblGrid>
        <w:gridCol w:w="4679"/>
        <w:gridCol w:w="5641"/>
      </w:tblGrid>
      <w:tr>
        <w:trPr/>
        <w:tc>
          <w:tcPr>
            <w:tcW w:w="4679" w:type="dxa"/>
            <w:textDirection w:val="lrTb"/>
            <w:noWrap w:val="false"/>
          </w:tcPr>
          <w:p>
            <w:pPr>
              <w:pStyle w:val="926"/>
              <w:ind w:left="0" w:right="-285"/>
              <w:jc w:val="center"/>
              <w:rPr>
                <w:rFonts w:ascii="PT Astra Serif" w:hAnsi="PT Astra Serif" w:cs="Times New Roman" w:eastAsia="Times New Roman"/>
                <w:b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/>
                <w:sz w:val="25"/>
                <w:szCs w:val="26"/>
                <w:highlight w:val="none"/>
                <w:lang w:eastAsia="ru-RU"/>
              </w:rPr>
              <w:t xml:space="preserve">Для </w:t>
            </w:r>
            <w:r>
              <w:rPr>
                <w:rFonts w:ascii="PT Astra Serif" w:hAnsi="PT Astra Serif" w:cs="Times New Roman" w:eastAsia="Times New Roman"/>
                <w:b/>
                <w:sz w:val="25"/>
                <w:szCs w:val="26"/>
                <w:highlight w:val="none"/>
                <w:lang w:eastAsia="ru-RU"/>
              </w:rPr>
              <w:t xml:space="preserve">работник</w:t>
            </w:r>
            <w:r>
              <w:rPr>
                <w:rFonts w:ascii="PT Astra Serif" w:hAnsi="PT Astra Serif" w:cs="Times New Roman" w:eastAsia="Times New Roman"/>
                <w:b/>
                <w:sz w:val="25"/>
                <w:szCs w:val="26"/>
                <w:highlight w:val="none"/>
                <w:lang w:eastAsia="ru-RU"/>
              </w:rPr>
              <w:t xml:space="preserve">ов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641" w:type="dxa"/>
            <w:textDirection w:val="lrTb"/>
            <w:noWrap w:val="false"/>
          </w:tcPr>
          <w:p>
            <w:pPr>
              <w:pStyle w:val="926"/>
              <w:ind w:left="0" w:right="-285"/>
              <w:jc w:val="center"/>
              <w:rPr>
                <w:rFonts w:ascii="PT Astra Serif" w:hAnsi="PT Astra Serif" w:cs="Times New Roman" w:eastAsia="Times New Roman"/>
                <w:b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/>
                <w:sz w:val="25"/>
                <w:szCs w:val="26"/>
                <w:highlight w:val="none"/>
                <w:lang w:eastAsia="ru-RU"/>
              </w:rPr>
              <w:t xml:space="preserve">Для </w:t>
            </w:r>
            <w:r>
              <w:rPr>
                <w:rFonts w:ascii="PT Astra Serif" w:hAnsi="PT Astra Serif" w:cs="Times New Roman" w:eastAsia="Times New Roman"/>
                <w:b/>
                <w:sz w:val="25"/>
                <w:szCs w:val="26"/>
                <w:highlight w:val="none"/>
                <w:lang w:eastAsia="ru-RU"/>
              </w:rPr>
              <w:t xml:space="preserve">учреждения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4679" w:type="dxa"/>
            <w:textDirection w:val="lrTb"/>
            <w:noWrap w:val="false"/>
          </w:tcPr>
          <w:p>
            <w:pPr>
              <w:pStyle w:val="926"/>
              <w:ind w:left="0" w:right="-285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Улучшение здоровья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641" w:type="dxa"/>
            <w:textDirection w:val="lrTb"/>
            <w:noWrap w:val="false"/>
          </w:tcPr>
          <w:p>
            <w:pPr>
              <w:pStyle w:val="926"/>
              <w:ind w:left="0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Сохранение и развитие кадрового потенциала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4679" w:type="dxa"/>
            <w:textDirection w:val="lrTb"/>
            <w:noWrap w:val="false"/>
          </w:tcPr>
          <w:p>
            <w:pPr>
              <w:pStyle w:val="926"/>
              <w:ind w:left="0" w:right="-285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Повышение удовлетворенности работой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641" w:type="dxa"/>
            <w:textDirection w:val="lrTb"/>
            <w:noWrap w:val="false"/>
          </w:tcPr>
          <w:p>
            <w:pPr>
              <w:pStyle w:val="926"/>
              <w:ind w:left="0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Повышение эффективности труда 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4679" w:type="dxa"/>
            <w:textDirection w:val="lrTb"/>
            <w:noWrap w:val="false"/>
          </w:tcPr>
          <w:p>
            <w:pPr>
              <w:pStyle w:val="926"/>
              <w:ind w:left="0" w:right="-285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Улучшение качества жизни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641" w:type="dxa"/>
            <w:textDirection w:val="lrTb"/>
            <w:noWrap w:val="false"/>
          </w:tcPr>
          <w:p>
            <w:pPr>
              <w:pStyle w:val="926"/>
              <w:ind w:left="0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Улучшение психологического климата в коллективе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4679" w:type="dxa"/>
            <w:textDirection w:val="lrTb"/>
            <w:noWrap w:val="false"/>
          </w:tcPr>
          <w:p>
            <w:pPr>
              <w:pStyle w:val="926"/>
              <w:ind w:left="0" w:right="-285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Отказ от вредных привычек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641" w:type="dxa"/>
            <w:textDirection w:val="lrTb"/>
            <w:noWrap w:val="false"/>
          </w:tcPr>
          <w:p>
            <w:pPr>
              <w:pStyle w:val="926"/>
              <w:ind w:left="0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Развитие позитивного имиджа организации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>
          <w:trHeight w:val="0"/>
        </w:trPr>
        <w:tc>
          <w:tcPr>
            <w:tcW w:w="4679" w:type="dxa"/>
            <w:textDirection w:val="lrTb"/>
            <w:noWrap w:val="false"/>
          </w:tcPr>
          <w:p>
            <w:pP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Повышение психоэмоционального благополучия 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641" w:type="dxa"/>
            <w:textDirection w:val="lrTb"/>
            <w:noWrap w:val="false"/>
          </w:tcPr>
          <w:p>
            <w:pPr>
              <w:pStyle w:val="926"/>
              <w:ind w:left="0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Снижение количества дней временной нетрудоспособности</w:t>
            </w:r>
            <w:r>
              <w:rPr>
                <w:sz w:val="25"/>
                <w:highlight w:val="none"/>
              </w:rPr>
            </w:r>
            <w:r/>
          </w:p>
        </w:tc>
      </w:tr>
    </w:tbl>
    <w:p>
      <w:pPr>
        <w:pStyle w:val="926"/>
        <w:ind w:right="-285"/>
        <w:spacing w:lineRule="auto" w:line="240" w:after="0"/>
        <w:rPr>
          <w:rFonts w:ascii="PT Astra Serif" w:hAnsi="PT Astra Serif" w:cs="Times New Roman" w:eastAsia="Times New Roman"/>
          <w:b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b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pStyle w:val="926"/>
        <w:numPr>
          <w:ilvl w:val="0"/>
          <w:numId w:val="19"/>
        </w:numPr>
        <w:ind w:right="-1"/>
        <w:jc w:val="center"/>
        <w:spacing w:lineRule="auto" w:line="240" w:after="0"/>
        <w:rPr>
          <w:rFonts w:ascii="PT Astra Serif" w:hAnsi="PT Astra Serif" w:cs="Times New Roman"/>
          <w:b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b/>
          <w:sz w:val="25"/>
          <w:szCs w:val="26"/>
          <w:highlight w:val="none"/>
          <w:lang w:eastAsia="ru-RU"/>
        </w:rPr>
        <w:t xml:space="preserve">Модули для реализации </w:t>
      </w:r>
      <w:r>
        <w:rPr>
          <w:rFonts w:ascii="PT Astra Serif" w:hAnsi="PT Astra Serif" w:cs="Times New Roman"/>
          <w:b/>
          <w:sz w:val="25"/>
          <w:szCs w:val="26"/>
          <w:highlight w:val="none"/>
        </w:rPr>
        <w:t xml:space="preserve">корпоративной программы здоровья </w:t>
      </w:r>
      <w:r>
        <w:rPr>
          <w:sz w:val="25"/>
          <w:highlight w:val="none"/>
        </w:rPr>
      </w:r>
      <w:r/>
    </w:p>
    <w:p>
      <w:pPr>
        <w:pStyle w:val="926"/>
        <w:ind w:right="-1"/>
        <w:spacing w:lineRule="auto" w:line="240" w:after="0"/>
        <w:rPr>
          <w:rFonts w:ascii="PT Astra Serif" w:hAnsi="PT Astra Serif" w:cs="Times New Roman"/>
          <w:b/>
          <w:sz w:val="25"/>
          <w:szCs w:val="26"/>
          <w:highlight w:val="none"/>
        </w:rPr>
      </w:pPr>
      <w:r>
        <w:rPr>
          <w:rFonts w:ascii="PT Astra Serif" w:hAnsi="PT Astra Serif" w:cs="Times New Roman"/>
          <w:b/>
          <w:sz w:val="25"/>
          <w:szCs w:val="26"/>
          <w:highlight w:val="none"/>
        </w:rPr>
      </w:r>
      <w:r>
        <w:rPr>
          <w:sz w:val="25"/>
          <w:highlight w:val="none"/>
        </w:rPr>
      </w:r>
      <w:r/>
    </w:p>
    <w:tbl>
      <w:tblPr>
        <w:tblStyle w:val="927"/>
        <w:tblW w:w="10490" w:type="dxa"/>
        <w:tblInd w:w="-572" w:type="dxa"/>
        <w:tblLook w:val="04A0" w:firstRow="1" w:lastRow="0" w:firstColumn="1" w:lastColumn="0" w:noHBand="0" w:noVBand="1"/>
      </w:tblPr>
      <w:tblGrid>
        <w:gridCol w:w="2665"/>
        <w:gridCol w:w="5132"/>
        <w:gridCol w:w="2693"/>
      </w:tblGrid>
      <w:tr>
        <w:trPr/>
        <w:tc>
          <w:tcPr>
            <w:tcW w:w="2665" w:type="dxa"/>
            <w:textDirection w:val="lrTb"/>
            <w:noWrap w:val="false"/>
          </w:tcPr>
          <w:p>
            <w:pPr>
              <w:pStyle w:val="926"/>
              <w:ind w:left="0" w:right="-1"/>
              <w:jc w:val="center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Наименование модул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я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132" w:type="dxa"/>
            <w:textDirection w:val="lrTb"/>
            <w:noWrap w:val="false"/>
          </w:tcPr>
          <w:p>
            <w:pPr>
              <w:pStyle w:val="926"/>
              <w:ind w:left="0" w:right="-1"/>
              <w:jc w:val="center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Содержание мероприятий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926"/>
              <w:ind w:left="0" w:right="-1"/>
              <w:jc w:val="center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Ожидаемый результат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2665" w:type="dxa"/>
            <w:textDirection w:val="lrTb"/>
            <w:noWrap w:val="false"/>
          </w:tcPr>
          <w:p>
            <w:pPr>
              <w:pStyle w:val="926"/>
              <w:ind w:left="0" w:right="-1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Физическая активность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132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Проведение командно-спортивных мероприятий: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Консультации специалистов по направлению ведения ЗОЖ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.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Просмотр образовательных и мотивационных спортивных видеороликов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.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Размещение мотивационных фотографий, плакатов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.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Участие в программе ГТО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.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Создание команды для выездов на районные/городские/областные соревнования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.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Проведение семейных спортивных мероприятий сотрудников  учреждения, велосипедные прогулки, «Деловая» йога, физкульт-паузы, физкультминутки, создание программы, оповещающей о необходимости проведения перерыва для разминки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.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Ежемесячные посещения спортивных секций (боулинг, бассейн)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.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Еженедельные соревнования пеших прогулок (с применением современных технологий, приложений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val="en-US" w:eastAsia="ru-RU"/>
              </w:rPr>
              <w:t xml:space="preserve">Welltolk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,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val="en-US" w:eastAsia="ru-RU"/>
              </w:rPr>
              <w:t xml:space="preserve">hotseat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 и др.)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.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Улучшение материально-технической базы (помещение для занятий, тренажеры, спортивный инвентарь, массажное кресло)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.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Проведение корпоративных, спортивно-массовых оздоровительных мероприятий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.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Проведение спартакиады среди сотрудников (шах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маты, волейбол, теннис и др.).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Сокращение рабочего времени для проведения спортивных мероприятий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.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sz w:val="25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Проведение  похода «Золотая осень».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sz w:val="25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Ходьба в обеденный перерыв.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В % соотношении (от общей численности работников):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- у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величение процента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ников, вовлечённых в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 ведение здорового образа жизни;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- с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нижение процента работников с низким уровнем физической активности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;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-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повышение уровня ф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изической грамотности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;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-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увеличение доли работников, вовлеченных в регулярное занятие физической культурой и спортом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; </w:t>
            </w:r>
            <w:r>
              <w:rPr>
                <w:sz w:val="25"/>
                <w:highlight w:val="none"/>
              </w:rPr>
            </w:r>
            <w:r/>
          </w:p>
          <w:p>
            <w:pPr>
              <w:ind w:right="-1"/>
              <w:jc w:val="both"/>
              <w:rPr>
                <w:rFonts w:ascii="PT Astra Serif" w:hAnsi="PT Astra Serif" w:cs="Times New Roman" w:eastAsia="Times New Roman"/>
                <w:b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-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снижение числа случаев временной нетрудоспособности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.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2665" w:type="dxa"/>
            <w:textDirection w:val="lrTb"/>
            <w:noWrap w:val="false"/>
          </w:tcPr>
          <w:p>
            <w:pPr>
              <w:pStyle w:val="926"/>
              <w:ind w:left="0" w:right="-1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Здоровое питание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132" w:type="dxa"/>
            <w:textDirection w:val="lrTb"/>
            <w:noWrap w:val="false"/>
          </w:tcPr>
          <w:p>
            <w:pPr>
              <w:pStyle w:val="926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Проведение образовательных семинаров для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 по следующим темам: «Здоровое питание», «Питание для долголетия», «Стройнее и вкуснее», «Продукты, повышающие холестерин» и др.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Ограничение на территории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учреждения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 продажи продуктов с высоким содержанием соли, сахара и насыщенных жиров.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Обеспечение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организации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 питьевой водой.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Разработка рекомендаци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й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 для предприятий, предоставляющи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х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 ус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луги общественного питания для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 (требования к ассортименту меню для рациона здорового питания</w:t>
            </w: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).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Увеличение выбора продуктов и блюд в меню «Здоровое питание», (включая овощи, фрукты,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 зелень) и маркировка блюд.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Проведение мастер - классов по приготовлению вкусной и здоровой пищи, проведение конкурсов рецептов блюд для здорового питания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Проведение тестирования с работниками по имеющимся привычкам питания на соответствие критерий здорового питания и мотивирование работников на оздоровление рациона.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hAnsi="PT Astra Serif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eastAsia="Times New Roman"/>
                <w:sz w:val="25"/>
                <w:szCs w:val="26"/>
                <w:highlight w:val="none"/>
              </w:rPr>
              <w:t xml:space="preserve">Организация в местах приема пищи работников информационных уголков: «Здоровое питание», «Принципы рационального питания» и др.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Организация для работников информационных встреч, «школ здоровья» по коррекции факторов риска заболеваний с привлечением медицинских специалистов, диетологов, психологов.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Организация места для самостоятельного контроля (тонометр, напольные весы, сантиметровая лента) показателей факторов риска здоровья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(артериальное давление, масса тела, окружность талии).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В % соотношении (от общей численности работников):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- увеличение %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, изменивших свой рацион в сторону оздоровления;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-</w:t>
            </w:r>
            <w:r>
              <w:rPr>
                <w:rFonts w:ascii="PT Astra Serif" w:hAnsi="PT Astra Serif" w:cs="Times New Roman" w:eastAsiaTheme="minorEastAsia"/>
                <w:color w:val="000000" w:themeColor="dark1"/>
                <w:sz w:val="25"/>
                <w:szCs w:val="36"/>
                <w:highlight w:val="none"/>
                <w:lang w:eastAsia="ru-RU"/>
              </w:rPr>
              <w:t xml:space="preserve"> </w:t>
            </w:r>
            <w:r>
              <w:rPr>
                <w:rFonts w:ascii="PT Astra Serif" w:hAnsi="PT Astra Serif" w:cs="Times New Roman" w:eastAsia="Times New Roman" w:eastAsiaTheme="minorEastAsia"/>
                <w:sz w:val="25"/>
                <w:szCs w:val="26"/>
                <w:highlight w:val="none"/>
                <w:lang w:eastAsia="ru-RU"/>
              </w:rPr>
              <w:t xml:space="preserve">увеличение % </w:t>
            </w:r>
            <w:r>
              <w:rPr>
                <w:rFonts w:ascii="PT Astra Serif" w:hAnsi="PT Astra Serif" w:cs="Times New Roman" w:eastAsia="Times New Roman" w:eastAsiaTheme="minorEastAsia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eastAsia="Times New Roman" w:eastAsiaTheme="minorEastAsia"/>
                <w:sz w:val="25"/>
                <w:szCs w:val="26"/>
                <w:highlight w:val="none"/>
              </w:rPr>
              <w:t xml:space="preserve">, имеющих доступ к питьевой воде не далее 100 м от рабочего места;</w:t>
            </w:r>
            <w:r>
              <w:rPr>
                <w:rFonts w:eastAsiaTheme="minorEastAsia"/>
                <w:sz w:val="25"/>
                <w:highlight w:val="none"/>
              </w:rPr>
            </w:r>
            <w:r>
              <w:rPr>
                <w:rFonts w:eastAsiaTheme="minorEastAsia"/>
              </w:rPr>
            </w:r>
          </w:p>
          <w:p>
            <w:pPr>
              <w:pStyle w:val="926"/>
              <w:ind w:left="0"/>
              <w:jc w:val="both"/>
              <w:rPr>
                <w:rFonts w:ascii="PT Astra Serif" w:hAnsi="PT Astra Serif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 w:eastAsiaTheme="minorEastAsia"/>
                <w:sz w:val="25"/>
                <w:szCs w:val="26"/>
                <w:highlight w:val="none"/>
                <w:lang w:eastAsia="ru-RU"/>
              </w:rPr>
              <w:t xml:space="preserve"> - </w:t>
            </w:r>
            <w:r>
              <w:rPr>
                <w:rFonts w:ascii="PT Astra Serif" w:hAnsi="PT Astra Serif" w:eastAsia="Times New Roman" w:eastAsiaTheme="minorEastAsia"/>
                <w:sz w:val="25"/>
                <w:szCs w:val="26"/>
                <w:highlight w:val="none"/>
              </w:rPr>
              <w:t xml:space="preserve">% работников, изменивших свои привычки в сторону оздоровления</w:t>
            </w:r>
            <w:r>
              <w:rPr>
                <w:rFonts w:ascii="PT Astra Serif" w:hAnsi="PT Astra Serif" w:eastAsia="Times New Roman" w:eastAsiaTheme="minorEastAsia"/>
                <w:sz w:val="25"/>
                <w:szCs w:val="26"/>
                <w:highlight w:val="none"/>
              </w:rPr>
              <w:t xml:space="preserve">;</w:t>
            </w:r>
            <w:r>
              <w:rPr>
                <w:rFonts w:eastAsiaTheme="minorEastAsia"/>
                <w:sz w:val="25"/>
                <w:highlight w:val="none"/>
              </w:rPr>
            </w:r>
            <w:r>
              <w:rPr>
                <w:rFonts w:eastAsiaTheme="minorEastAsia"/>
              </w:rPr>
            </w:r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 w:eastAsiaTheme="minorEastAsia"/>
                <w:sz w:val="25"/>
                <w:szCs w:val="26"/>
                <w:highlight w:val="none"/>
                <w:lang w:eastAsia="ru-RU"/>
              </w:rPr>
              <w:t xml:space="preserve">-</w:t>
            </w:r>
            <w:r>
              <w:rPr>
                <w:rFonts w:ascii="PT Astra Serif" w:hAnsi="PT Astra Serif" w:cs="Times New Roman" w:eastAsia="Times New Roman" w:eastAsiaTheme="minorEastAsia"/>
                <w:sz w:val="25"/>
                <w:szCs w:val="26"/>
                <w:highlight w:val="none"/>
                <w:lang w:eastAsia="ru-RU"/>
              </w:rPr>
              <w:t xml:space="preserve"> увеличение</w:t>
            </w:r>
            <w:r>
              <w:rPr>
                <w:rFonts w:ascii="PT Astra Serif" w:hAnsi="PT Astra Serif" w:cs="Times New Roman" w:eastAsia="Times New Roman" w:eastAsiaTheme="minorEastAsia"/>
                <w:sz w:val="25"/>
                <w:szCs w:val="26"/>
                <w:highlight w:val="none"/>
                <w:lang w:eastAsia="ru-RU"/>
              </w:rPr>
              <w:t xml:space="preserve"> % </w:t>
            </w:r>
            <w:r>
              <w:rPr>
                <w:rFonts w:ascii="PT Astra Serif" w:hAnsi="PT Astra Serif" w:cs="Times New Roman" w:eastAsia="Times New Roman" w:eastAsiaTheme="minorEastAsia"/>
                <w:sz w:val="25"/>
                <w:szCs w:val="26"/>
                <w:highlight w:val="none"/>
                <w:lang w:eastAsia="ru-RU"/>
              </w:rPr>
              <w:t xml:space="preserve">и</w:t>
            </w:r>
            <w:r>
              <w:rPr>
                <w:rFonts w:ascii="PT Astra Serif" w:hAnsi="PT Astra Serif" w:cs="Times New Roman" w:eastAsia="Times New Roman" w:eastAsiaTheme="minorEastAsia"/>
                <w:sz w:val="25"/>
                <w:szCs w:val="26"/>
                <w:highlight w:val="none"/>
                <w:lang w:eastAsia="ru-RU"/>
              </w:rPr>
              <w:t xml:space="preserve">нформированност</w:t>
            </w:r>
            <w:r>
              <w:rPr>
                <w:rFonts w:ascii="PT Astra Serif" w:hAnsi="PT Astra Serif" w:cs="Times New Roman" w:eastAsia="Times New Roman" w:eastAsiaTheme="minorEastAsia"/>
                <w:sz w:val="25"/>
                <w:szCs w:val="26"/>
                <w:highlight w:val="none"/>
                <w:lang w:eastAsia="ru-RU"/>
              </w:rPr>
              <w:t xml:space="preserve">и</w:t>
            </w:r>
            <w:r>
              <w:rPr>
                <w:rFonts w:ascii="PT Astra Serif" w:hAnsi="PT Astra Serif" w:cs="Times New Roman" w:eastAsia="Times New Roman" w:eastAsiaTheme="minorEastAsia"/>
                <w:sz w:val="25"/>
                <w:szCs w:val="26"/>
                <w:highlight w:val="none"/>
                <w:lang w:eastAsia="ru-RU"/>
              </w:rPr>
              <w:t xml:space="preserve"> работников о здоровом питании</w:t>
            </w:r>
            <w:r>
              <w:rPr>
                <w:rFonts w:ascii="PT Astra Serif" w:hAnsi="PT Astra Serif" w:cs="Times New Roman" w:eastAsia="Times New Roman" w:eastAsiaTheme="minorEastAsia"/>
                <w:sz w:val="25"/>
                <w:szCs w:val="26"/>
                <w:highlight w:val="none"/>
                <w:lang w:eastAsia="ru-RU"/>
              </w:rPr>
              <w:t xml:space="preserve">;</w:t>
            </w:r>
            <w:r>
              <w:rPr>
                <w:rFonts w:eastAsiaTheme="minorEastAsia"/>
                <w:sz w:val="25"/>
                <w:highlight w:val="none"/>
              </w:rPr>
            </w:r>
            <w:r>
              <w:rPr>
                <w:rFonts w:eastAsiaTheme="minorEastAsia"/>
              </w:rPr>
            </w:r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b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 w:eastAsiaTheme="minorEastAsia"/>
                <w:sz w:val="25"/>
                <w:szCs w:val="26"/>
                <w:highlight w:val="none"/>
                <w:lang w:eastAsia="ru-RU"/>
              </w:rPr>
              <w:t xml:space="preserve">- у</w:t>
            </w:r>
            <w:r>
              <w:rPr>
                <w:rFonts w:ascii="PT Astra Serif" w:hAnsi="PT Astra Serif" w:cs="Times New Roman" w:eastAsia="Times New Roman" w:eastAsiaTheme="minorEastAsia"/>
                <w:sz w:val="25"/>
                <w:szCs w:val="26"/>
                <w:highlight w:val="none"/>
                <w:lang w:eastAsia="ru-RU"/>
              </w:rPr>
              <w:t xml:space="preserve">величение </w:t>
            </w:r>
            <w:r>
              <w:rPr>
                <w:rFonts w:ascii="PT Astra Serif" w:hAnsi="PT Astra Serif" w:cs="Times New Roman" w:eastAsia="Times New Roman" w:eastAsiaTheme="minorEastAsia"/>
                <w:sz w:val="25"/>
                <w:szCs w:val="26"/>
                <w:highlight w:val="none"/>
                <w:lang w:eastAsia="ru-RU"/>
              </w:rPr>
              <w:t xml:space="preserve">% </w:t>
            </w:r>
            <w:r>
              <w:rPr>
                <w:rFonts w:ascii="PT Astra Serif" w:hAnsi="PT Astra Serif" w:cs="Times New Roman" w:eastAsia="Times New Roman" w:eastAsiaTheme="minorEastAsia"/>
                <w:sz w:val="25"/>
                <w:szCs w:val="26"/>
                <w:highlight w:val="none"/>
                <w:lang w:eastAsia="ru-RU"/>
              </w:rPr>
              <w:t xml:space="preserve">работников, самостоятельно контролирующих показатели факторов риска здоровья</w:t>
            </w:r>
            <w:r>
              <w:rPr>
                <w:rFonts w:ascii="PT Astra Serif" w:hAnsi="PT Astra Serif" w:cs="Times New Roman" w:eastAsia="Times New Roman" w:eastAsiaTheme="minorEastAsia"/>
                <w:sz w:val="25"/>
                <w:szCs w:val="26"/>
                <w:highlight w:val="none"/>
                <w:lang w:eastAsia="ru-RU"/>
              </w:rPr>
              <w:t xml:space="preserve">.</w:t>
            </w:r>
            <w:r>
              <w:rPr>
                <w:rFonts w:eastAsiaTheme="minorEastAsia"/>
                <w:sz w:val="25"/>
                <w:highlight w:val="none"/>
              </w:rPr>
            </w:r>
            <w:r>
              <w:rPr>
                <w:rFonts w:eastAsiaTheme="minorEastAsia"/>
              </w:rPr>
            </w:r>
          </w:p>
        </w:tc>
      </w:tr>
      <w:tr>
        <w:trPr/>
        <w:tc>
          <w:tcPr>
            <w:tcW w:w="2665" w:type="dxa"/>
            <w:textDirection w:val="lrTb"/>
            <w:noWrap w:val="false"/>
          </w:tcPr>
          <w:p>
            <w:pPr>
              <w:pStyle w:val="926"/>
              <w:ind w:left="0" w:right="-1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Диагностика и профилактика профессиональных заболеваний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132" w:type="dxa"/>
            <w:textDirection w:val="lrTb"/>
            <w:noWrap w:val="false"/>
          </w:tcPr>
          <w:p>
            <w:pPr>
              <w:pStyle w:val="926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Организация ежегодных медицинских осмотров.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Анкетирование работников о состоянии их здоровья.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Анализ результатов специальной оценки условий труда и материалов по программе производственного контроля, оценки рисков.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Размещение информации профилактического характера о профессиональном здоровье на сайте организации и в ее стенах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Организация встреч с медицинскими работниками на тему диагностики и профилактики профессионального здоровья.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Информирование работников о пользе вакцинаций, компонентном составе и действии вакцин.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Информирование о результативности реализации программы.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Программа здорового питания для работников организации.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Создание и обеспечение функционирования «кафетерия льгот».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Улучшение условий труда (УТ) и отдыха работников.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Программа витаминизации и профилактики в периоды сезонных заболеваний и авитаминозов. 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b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Внедрение практических, групповых форматов развития культуры здоровья.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contextualSpacing w:val="true"/>
              <w:jc w:val="both"/>
              <w:spacing w:after="100" w:afterAutospacing="1" w:before="100" w:beforeAutospacing="1"/>
              <w:rPr>
                <w:rFonts w:ascii="PT Astra Serif" w:hAnsi="PT Astra Serif" w:cs="Times New Roman" w:eastAsia="Times New Roman"/>
                <w:sz w:val="25"/>
                <w:szCs w:val="24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В % соотношении (от общей численности работников):</w:t>
            </w:r>
            <w:r>
              <w:rPr>
                <w:sz w:val="25"/>
                <w:highlight w:val="none"/>
              </w:rPr>
            </w:r>
            <w:r/>
          </w:p>
          <w:p>
            <w:pPr>
              <w:contextualSpacing w:val="true"/>
              <w:jc w:val="both"/>
              <w:spacing w:after="100" w:afterAutospacing="1" w:before="100" w:beforeAutospacing="1"/>
              <w:rPr>
                <w:rFonts w:ascii="PT Astra Serif" w:hAnsi="PT Astra Serif" w:cs="Times New Roman" w:eastAsia="Times New Roman"/>
                <w:sz w:val="25"/>
                <w:szCs w:val="24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- увеличение % работников, прошедших вакцинацию;</w:t>
            </w:r>
            <w:r>
              <w:rPr>
                <w:sz w:val="25"/>
                <w:highlight w:val="none"/>
              </w:rPr>
            </w:r>
            <w:r/>
          </w:p>
          <w:p>
            <w:pPr>
              <w:contextualSpacing w:val="true"/>
              <w:jc w:val="both"/>
              <w:spacing w:after="100" w:afterAutospacing="1" w:before="100" w:beforeAutospacing="1"/>
              <w:rPr>
                <w:rFonts w:ascii="PT Astra Serif" w:hAnsi="PT Astra Serif" w:cs="Times New Roman" w:eastAsia="Times New Roman"/>
                <w:sz w:val="25"/>
                <w:szCs w:val="24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- снижение % работников с нуждающихся в амбулаторном, стационарном обследовании и лечение, санаторно-курортном лечение и диспансерном наблюдении.</w:t>
            </w:r>
            <w:r>
              <w:rPr>
                <w:sz w:val="25"/>
                <w:highlight w:val="none"/>
              </w:rPr>
            </w:r>
            <w:r/>
          </w:p>
          <w:p>
            <w:pPr>
              <w:contextualSpacing w:val="true"/>
              <w:jc w:val="both"/>
              <w:spacing w:after="100" w:afterAutospacing="1" w:before="100" w:beforeAutospacing="1"/>
              <w:rPr>
                <w:rFonts w:ascii="PT Astra Serif" w:hAnsi="PT Astra Serif" w:cs="Times New Roman" w:eastAsia="Times New Roman"/>
                <w:b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 Улучшение показателей здоровья работников по результатам медицинских осмотров.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>
          <w:trHeight w:val="567"/>
        </w:trPr>
        <w:tc>
          <w:tcPr>
            <w:tcW w:w="2665" w:type="dxa"/>
            <w:textDirection w:val="lrTb"/>
            <w:noWrap w:val="false"/>
          </w:tcPr>
          <w:p>
            <w:pPr>
              <w:pStyle w:val="926"/>
              <w:ind w:left="0" w:right="-1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Психологическое и эмоциональное благополучие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132" w:type="dxa"/>
            <w:textDirection w:val="lrTb"/>
            <w:noWrap w:val="false"/>
          </w:tcPr>
          <w:p>
            <w:pPr>
              <w:pStyle w:val="926"/>
              <w:numPr>
                <w:ilvl w:val="0"/>
                <w:numId w:val="38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День психологии- мероприятия, проходящие на территории учреждения. 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Задачами мероприятия явля</w:t>
            </w: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ются: информировать работников об основах психоэмоциональной гигиены, обеспечить доступность консультации и поддержки психолога, ознакомить с информацией о психологических навыках управления стрессом, о профилактике профессионального выгорания и депрессии.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numPr>
                <w:ilvl w:val="0"/>
                <w:numId w:val="38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Просветительская работа.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Еженедельное наполнение контента сайта и социальных сетей учреждения  информацией по сохранению психологического здоровья 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numPr>
                <w:ilvl w:val="0"/>
                <w:numId w:val="38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Проведение психопрофилактических мероприятий.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Программы, направленные на профилактику стресса на рабочем ме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сте, повышение уровня благополучия. Сопровождение по управлению эмоциями; профилактика депрессии, выгорания, тревожных расстройств; аутогенная тренировка, практики медитации и осознанности, арт -терапивтические и проективные методики, дыхательные практики.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numPr>
                <w:ilvl w:val="0"/>
                <w:numId w:val="38"/>
              </w:numPr>
              <w:ind w:left="0" w:firstLine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Комната психологической разгрузки.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b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Комната психоэмоциональной разгрузки–отдельное помещение, оснащенное современным оборудованием для профилактики и коррекции неблагоприя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тных психофизиологических состояний, устранения психоэмоциональных рисков у работников. Профилактика утомляемости работников на рабочем месте и как результат повышение производительности труда, уменьшение восприимчивости к стрессу, уменьшение числа ошибок.</w:t>
            </w:r>
            <w:r>
              <w:rPr>
                <w:rFonts w:ascii="PT Astra Serif" w:hAnsi="PT Astra Serif" w:cs="Times New Roman" w:eastAsia="Times New Roman"/>
                <w:b/>
                <w:sz w:val="25"/>
                <w:szCs w:val="26"/>
                <w:highlight w:val="none"/>
                <w:lang w:eastAsia="ru-RU"/>
              </w:rPr>
              <w:t xml:space="preserve"> 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b w:val="false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 w:val="false"/>
                <w:sz w:val="25"/>
                <w:szCs w:val="26"/>
                <w:highlight w:val="none"/>
                <w:lang w:eastAsia="ru-RU"/>
              </w:rPr>
              <w:t xml:space="preserve">5. Проведение  2 раза в год «День здоровья».</w:t>
            </w:r>
            <w:r>
              <w:rPr>
                <w:rFonts w:ascii="PT Astra Serif" w:hAnsi="PT Astra Serif" w:cs="Times New Roman" w:eastAsia="Times New Roman"/>
                <w:b w:val="false"/>
                <w:sz w:val="25"/>
                <w:szCs w:val="26"/>
                <w:highlight w:val="none"/>
                <w:lang w:eastAsia="ru-RU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b w:val="false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 w:val="false"/>
                <w:sz w:val="25"/>
                <w:szCs w:val="26"/>
                <w:highlight w:val="none"/>
                <w:lang w:eastAsia="ru-RU"/>
              </w:rPr>
              <w:t xml:space="preserve">6. Организация производственной гимнастики, медитации, музыкотерапии, дыхательной гимнастики.</w:t>
            </w:r>
            <w:r>
              <w:rPr>
                <w:rFonts w:ascii="PT Astra Serif" w:hAnsi="PT Astra Serif" w:cs="Times New Roman" w:eastAsia="Times New Roman"/>
                <w:b w:val="false"/>
                <w:sz w:val="25"/>
                <w:szCs w:val="26"/>
                <w:highlight w:val="none"/>
                <w:lang w:eastAsia="ru-RU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В % соотношении (от общей численности работников):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- снижение %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иков с высоким уровнем стресса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;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 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- увеличение %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работников, принявших участие в мероприятиях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;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- увеличение % работников,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вовлечённых в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образовательные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программы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;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- увеличение %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группы риска, посетивших комнаты психологической и психоэмоциональной разгрузки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 w:right="-1"/>
              <w:rPr>
                <w:rFonts w:ascii="PT Astra Serif" w:hAnsi="PT Astra Serif" w:cs="Times New Roman" w:eastAsia="Times New Roman"/>
                <w:b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/>
                <w:sz w:val="25"/>
                <w:szCs w:val="26"/>
                <w:highlight w:val="none"/>
                <w:lang w:eastAsia="ru-RU"/>
              </w:rPr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2665" w:type="dxa"/>
            <w:textDirection w:val="lrTb"/>
            <w:noWrap w:val="false"/>
          </w:tcPr>
          <w:p>
            <w:pPr>
              <w:pStyle w:val="926"/>
              <w:ind w:left="0" w:right="-1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Профессиональное, социальное и финансовое благополучие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132" w:type="dxa"/>
            <w:textDirection w:val="lrTb"/>
            <w:noWrap w:val="false"/>
          </w:tcPr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Профессиональный рост и развитие: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- предоставление «свободных окон» для повышения квалификации и развития профессиональных навыков.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2. «Наставничество»: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-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п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ередача опыта и знаний между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работниками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 (тренинги, деловые игры, семинары по обмену опытом среди коллег, лекция-бесед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ы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, семинары-практикумы, психологические тренинги, проблемно-проектны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е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 семинар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ы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, круглы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е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 стол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ы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 и др.)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;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- повышение профессиональной компетентности работников в овладении и эффективном использовании информационно - компьютерных технологий.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Социальные связи и общественная вовлеченность: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- участие в городских экологических мероприятиях и конкурсах, в т.ч. профсоюзных (субботники, сбор макулатуры, высадка деревьев);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- волонтерское движение (дни доноров, ярмарки, просветительские беседы,  благотворительные акции, концерты и театральные выступления, буклеты и методические материалы по волонтерству);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- семейные мероприятия для сотрудников </w:t>
            </w: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(игры, тренинги, мастер-классы, профориентационные мероприятия для детей сотрудников, семейные концерты, мероприятия к праздникам, семейные походы выходного дня, концерт для детей сотрудников ко «Дню матери»), корпоративные мероприятия, семейные экскурсии;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- развитие профсоюзного движения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- предоставление социальной карты, дополнительной скидки на приобретение товаров в магазинах партнерах.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Финансовое благополучие: 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- д</w:t>
            </w: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еловые игры «Как приумножить собственный капитал»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;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- с</w:t>
            </w: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еминары и тренинги, посвященные тому, как планировать семейный бюджет, как не попадаться на маркетинговые уловки, как избегать импульсивных покупок, как получить налоговый вычет, как ускорить накопление </w:t>
            </w: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негосударственной пенсии и т.д.;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b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- в</w:t>
            </w:r>
            <w:r>
              <w:rPr>
                <w:rFonts w:ascii="PT Astra Serif" w:hAnsi="PT Astra Serif" w:cs="Times New Roman" w:eastAsia="Times New Roman"/>
                <w:bCs/>
                <w:sz w:val="25"/>
                <w:szCs w:val="26"/>
                <w:highlight w:val="none"/>
                <w:lang w:eastAsia="ru-RU"/>
              </w:rPr>
              <w:t xml:space="preserve">ебинары по финансовому благополучию: планирование бюджета, сбережения и финансовые инструменты, пенсионная система и формирование «пенсионной подушки» и др. 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- повышение финансовой грамотности работников;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- повышение удовлетворенностью работой;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- рост психоэмоционального благополучия и здоровья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; 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- повышение престижа организации;</w:t>
            </w:r>
            <w:r>
              <w:rPr>
                <w:sz w:val="25"/>
                <w:highlight w:val="none"/>
              </w:rPr>
            </w:r>
            <w:r/>
          </w:p>
          <w:p>
            <w:pPr>
              <w:pStyle w:val="926"/>
              <w:ind w:left="0"/>
              <w:jc w:val="both"/>
              <w:rPr>
                <w:rFonts w:ascii="PT Astra Serif" w:hAnsi="PT Astra Serif" w:cs="Times New Roman" w:eastAsia="Times New Roman"/>
                <w:b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- повышение профессионального роста и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компетентности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.</w:t>
            </w:r>
            <w:r>
              <w:rPr>
                <w:sz w:val="25"/>
                <w:highlight w:val="none"/>
              </w:rPr>
            </w:r>
            <w:r/>
          </w:p>
        </w:tc>
      </w:tr>
    </w:tbl>
    <w:p>
      <w:pPr>
        <w:pStyle w:val="926"/>
        <w:ind w:right="-1"/>
        <w:spacing w:lineRule="auto" w:line="240" w:after="0"/>
        <w:rPr>
          <w:rFonts w:ascii="PT Astra Serif" w:hAnsi="PT Astra Serif" w:cs="Times New Roman" w:eastAsia="Times New Roman"/>
          <w:b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b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pStyle w:val="926"/>
        <w:ind w:right="-1"/>
        <w:spacing w:lineRule="auto" w:line="240" w:after="0"/>
        <w:rPr>
          <w:rFonts w:ascii="PT Astra Serif" w:hAnsi="PT Astra Serif" w:cs="Times New Roman" w:eastAsia="Times New Roman"/>
          <w:b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b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pStyle w:val="937"/>
        <w:numPr>
          <w:ilvl w:val="0"/>
          <w:numId w:val="19"/>
        </w:numPr>
        <w:jc w:val="center"/>
        <w:spacing w:after="0" w:afterAutospacing="0" w:before="0" w:beforeAutospacing="0"/>
        <w:rPr>
          <w:rFonts w:ascii="PT Astra Serif" w:hAnsi="PT Astra Serif"/>
          <w:b/>
          <w:sz w:val="25"/>
          <w:szCs w:val="26"/>
          <w:highlight w:val="none"/>
        </w:rPr>
      </w:pPr>
      <w:r>
        <w:rPr>
          <w:rFonts w:ascii="PT Astra Serif" w:hAnsi="PT Astra Serif"/>
          <w:b/>
          <w:sz w:val="25"/>
          <w:szCs w:val="26"/>
          <w:highlight w:val="none"/>
        </w:rPr>
        <w:t xml:space="preserve">Анализ рисков при реализации программы</w:t>
      </w:r>
      <w:r>
        <w:rPr>
          <w:sz w:val="25"/>
          <w:highlight w:val="none"/>
        </w:rPr>
      </w:r>
      <w:r/>
    </w:p>
    <w:p>
      <w:pPr>
        <w:pStyle w:val="937"/>
        <w:ind w:left="-567" w:firstLine="567"/>
        <w:spacing w:after="0" w:afterAutospacing="0" w:before="0" w:beforeAutospacing="0"/>
        <w:rPr>
          <w:rFonts w:ascii="PT Astra Serif" w:hAnsi="PT Astra Serif"/>
          <w:b/>
          <w:sz w:val="25"/>
          <w:szCs w:val="26"/>
          <w:highlight w:val="none"/>
        </w:rPr>
      </w:pPr>
      <w:r>
        <w:rPr>
          <w:rFonts w:ascii="PT Astra Serif" w:hAnsi="PT Astra Serif"/>
          <w:b/>
          <w:sz w:val="25"/>
          <w:szCs w:val="26"/>
          <w:highlight w:val="none"/>
        </w:rPr>
      </w:r>
      <w:r>
        <w:rPr>
          <w:sz w:val="25"/>
          <w:highlight w:val="none"/>
        </w:rPr>
      </w:r>
      <w:r/>
    </w:p>
    <w:p>
      <w:pPr>
        <w:pStyle w:val="936"/>
        <w:jc w:val="both"/>
        <w:spacing w:after="0" w:afterAutospacing="0" w:before="0" w:beforeAutospacing="0"/>
        <w:rPr>
          <w:rFonts w:ascii="PT Astra Serif" w:hAnsi="PT Astra Serif"/>
          <w:bCs/>
          <w:position w:val="7"/>
          <w:sz w:val="25"/>
          <w:szCs w:val="26"/>
          <w:highlight w:val="none"/>
        </w:rPr>
      </w:pPr>
      <w:r>
        <w:rPr>
          <w:rFonts w:ascii="PT Astra Serif" w:hAnsi="PT Astra Serif"/>
          <w:bCs/>
          <w:position w:val="7"/>
          <w:sz w:val="25"/>
          <w:szCs w:val="26"/>
          <w:highlight w:val="none"/>
        </w:rPr>
        <w:t xml:space="preserve">1. </w:t>
      </w:r>
      <w:r>
        <w:rPr>
          <w:rFonts w:ascii="PT Astra Serif" w:hAnsi="PT Astra Serif"/>
          <w:bCs/>
          <w:position w:val="7"/>
          <w:sz w:val="25"/>
          <w:szCs w:val="26"/>
          <w:highlight w:val="none"/>
        </w:rPr>
        <w:t xml:space="preserve">Финансовый риск</w:t>
      </w:r>
      <w:r>
        <w:rPr>
          <w:sz w:val="25"/>
          <w:highlight w:val="none"/>
        </w:rPr>
      </w:r>
      <w:r/>
    </w:p>
    <w:p>
      <w:pPr>
        <w:pStyle w:val="936"/>
        <w:ind w:left="-567" w:firstLine="567"/>
        <w:jc w:val="both"/>
        <w:spacing w:after="0" w:afterAutospacing="0" w:before="0" w:beforeAutospacing="0"/>
        <w:rPr>
          <w:rFonts w:ascii="PT Astra Serif" w:hAnsi="PT Astra Serif"/>
          <w:color w:val="000000"/>
          <w:position w:val="7"/>
          <w:sz w:val="25"/>
          <w:szCs w:val="26"/>
          <w:highlight w:val="none"/>
        </w:rPr>
      </w:pPr>
      <w:r>
        <w:rPr>
          <w:rFonts w:ascii="PT Astra Serif" w:hAnsi="PT Astra Serif"/>
          <w:color w:val="000000"/>
          <w:position w:val="7"/>
          <w:sz w:val="25"/>
          <w:szCs w:val="26"/>
          <w:highlight w:val="none"/>
        </w:rPr>
        <w:t xml:space="preserve">Решение: сокращение финансовых затрат организации,</w:t>
      </w:r>
      <w:r>
        <w:rPr>
          <w:rFonts w:ascii="PT Astra Serif" w:hAnsi="PT Astra Serif"/>
          <w:color w:val="000000"/>
          <w:position w:val="7"/>
          <w:sz w:val="25"/>
          <w:szCs w:val="26"/>
          <w:highlight w:val="none"/>
        </w:rPr>
        <w:t xml:space="preserve"> </w:t>
      </w:r>
      <w:r>
        <w:rPr>
          <w:rFonts w:ascii="PT Astra Serif" w:hAnsi="PT Astra Serif"/>
          <w:color w:val="000000"/>
          <w:position w:val="7"/>
          <w:sz w:val="25"/>
          <w:szCs w:val="26"/>
          <w:highlight w:val="none"/>
        </w:rPr>
        <w:t xml:space="preserve">использование внутренних ресурсов, выявление и поддержка амбассадоров здорового образ</w:t>
      </w:r>
      <w:r>
        <w:rPr>
          <w:rFonts w:ascii="PT Astra Serif" w:hAnsi="PT Astra Serif"/>
          <w:color w:val="000000"/>
          <w:position w:val="7"/>
          <w:sz w:val="25"/>
          <w:szCs w:val="26"/>
          <w:highlight w:val="none"/>
        </w:rPr>
        <w:t xml:space="preserve">а жизни.</w:t>
      </w:r>
      <w:r>
        <w:rPr>
          <w:sz w:val="25"/>
          <w:highlight w:val="none"/>
        </w:rPr>
      </w:r>
      <w:r/>
    </w:p>
    <w:p>
      <w:pPr>
        <w:ind w:left="-567" w:firstLine="567"/>
        <w:jc w:val="both"/>
        <w:spacing w:lineRule="auto" w:line="240" w:after="0"/>
        <w:rPr>
          <w:rFonts w:ascii="PT Astra Serif" w:hAnsi="PT Astra Serif" w:cs="Times New Roman" w:eastAsia="Times New Roman"/>
          <w:bCs/>
          <w:position w:val="7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position w:val="7"/>
          <w:sz w:val="25"/>
          <w:szCs w:val="26"/>
          <w:highlight w:val="none"/>
          <w:lang w:eastAsia="ru-RU"/>
        </w:rPr>
        <w:t xml:space="preserve">2. </w:t>
      </w:r>
      <w:r>
        <w:rPr>
          <w:rFonts w:ascii="PT Astra Serif" w:hAnsi="PT Astra Serif" w:cs="Times New Roman" w:eastAsia="Times New Roman"/>
          <w:bCs/>
          <w:position w:val="7"/>
          <w:sz w:val="25"/>
          <w:szCs w:val="26"/>
          <w:highlight w:val="none"/>
          <w:lang w:eastAsia="ru-RU"/>
        </w:rPr>
        <w:t xml:space="preserve">Риск отсутствия ожидаемых конечных результатов </w:t>
      </w:r>
      <w:r>
        <w:rPr>
          <w:sz w:val="25"/>
          <w:highlight w:val="none"/>
        </w:rPr>
      </w:r>
      <w:r/>
    </w:p>
    <w:p>
      <w:pPr>
        <w:ind w:left="-567" w:firstLine="567"/>
        <w:jc w:val="both"/>
        <w:spacing w:lineRule="auto" w:line="240" w:after="0"/>
        <w:rPr>
          <w:rFonts w:ascii="PT Astra Serif" w:hAnsi="PT Astra Serif" w:cs="Times New Roman" w:eastAsia="Times New Roman"/>
          <w:color w:val="000000"/>
          <w:position w:val="7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color w:val="000000"/>
          <w:position w:val="7"/>
          <w:sz w:val="25"/>
          <w:szCs w:val="26"/>
          <w:highlight w:val="none"/>
          <w:lang w:eastAsia="ru-RU"/>
        </w:rPr>
        <w:t xml:space="preserve">Решение: мониторинг результатов, анализ эффективности</w:t>
      </w:r>
      <w:r>
        <w:rPr>
          <w:rFonts w:ascii="PT Astra Serif" w:hAnsi="PT Astra Serif" w:cs="Times New Roman" w:eastAsia="Times New Roman"/>
          <w:color w:val="000000"/>
          <w:position w:val="7"/>
          <w:sz w:val="25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color w:val="000000"/>
          <w:position w:val="7"/>
          <w:sz w:val="25"/>
          <w:szCs w:val="26"/>
          <w:highlight w:val="none"/>
          <w:lang w:eastAsia="ru-RU"/>
        </w:rPr>
        <w:t xml:space="preserve">мероприятий и программы в целом, стратегия непрерывных</w:t>
      </w:r>
      <w:r>
        <w:rPr>
          <w:rFonts w:ascii="PT Astra Serif" w:hAnsi="PT Astra Serif" w:cs="Times New Roman" w:eastAsia="Times New Roman"/>
          <w:color w:val="000000"/>
          <w:position w:val="7"/>
          <w:sz w:val="25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color w:val="000000"/>
          <w:position w:val="7"/>
          <w:sz w:val="25"/>
          <w:szCs w:val="26"/>
          <w:highlight w:val="none"/>
          <w:lang w:eastAsia="ru-RU"/>
        </w:rPr>
        <w:t xml:space="preserve">улучшений, переход отдельных пунктов программы на долгосрочную реализацию</w:t>
      </w:r>
      <w:r>
        <w:rPr>
          <w:rFonts w:ascii="PT Astra Serif" w:hAnsi="PT Astra Serif" w:cs="Times New Roman" w:eastAsia="Times New Roman"/>
          <w:color w:val="000000"/>
          <w:position w:val="7"/>
          <w:sz w:val="25"/>
          <w:szCs w:val="26"/>
          <w:highlight w:val="none"/>
          <w:lang w:eastAsia="ru-RU"/>
        </w:rPr>
        <w:t xml:space="preserve">.</w:t>
      </w:r>
      <w:r>
        <w:rPr>
          <w:sz w:val="25"/>
          <w:highlight w:val="none"/>
        </w:rPr>
      </w:r>
      <w:r/>
    </w:p>
    <w:p>
      <w:pPr>
        <w:ind w:left="-567" w:firstLine="567"/>
        <w:jc w:val="both"/>
        <w:spacing w:lineRule="auto" w:line="240" w:after="0"/>
        <w:rPr>
          <w:rFonts w:ascii="PT Astra Serif" w:hAnsi="PT Astra Serif" w:cs="Times New Roman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position w:val="7"/>
          <w:sz w:val="25"/>
          <w:szCs w:val="26"/>
          <w:highlight w:val="none"/>
          <w:lang w:eastAsia="ru-RU"/>
        </w:rPr>
        <w:t xml:space="preserve">3. </w:t>
      </w:r>
      <w:r>
        <w:rPr>
          <w:rFonts w:ascii="PT Astra Serif" w:hAnsi="PT Astra Serif" w:cs="Times New Roman" w:eastAsia="Times New Roman"/>
          <w:bCs/>
          <w:position w:val="7"/>
          <w:sz w:val="25"/>
          <w:szCs w:val="26"/>
          <w:highlight w:val="none"/>
          <w:lang w:eastAsia="ru-RU"/>
        </w:rPr>
        <w:t xml:space="preserve">Пассивное и активное сопротивление отдельных работников </w:t>
      </w:r>
      <w:r>
        <w:rPr>
          <w:sz w:val="25"/>
          <w:highlight w:val="none"/>
        </w:rPr>
      </w:r>
      <w:r/>
    </w:p>
    <w:p>
      <w:pPr>
        <w:ind w:left="-567" w:firstLine="567"/>
        <w:jc w:val="both"/>
        <w:spacing w:lineRule="auto" w:line="240" w:after="0"/>
        <w:rPr>
          <w:rFonts w:ascii="PT Astra Serif" w:hAnsi="PT Astra Serif" w:cs="Times New Roman" w:eastAsia="Times New Roman"/>
          <w:color w:val="000000"/>
          <w:position w:val="7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color w:val="000000"/>
          <w:position w:val="7"/>
          <w:sz w:val="25"/>
          <w:szCs w:val="26"/>
          <w:highlight w:val="none"/>
          <w:lang w:eastAsia="ru-RU"/>
        </w:rPr>
        <w:t xml:space="preserve">Решение: эффективное информирование работников,</w:t>
      </w:r>
      <w:r>
        <w:rPr>
          <w:rFonts w:ascii="PT Astra Serif" w:hAnsi="PT Astra Serif" w:cs="Times New Roman" w:eastAsia="Times New Roman"/>
          <w:color w:val="000000"/>
          <w:position w:val="7"/>
          <w:sz w:val="25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color w:val="000000"/>
          <w:position w:val="7"/>
          <w:sz w:val="25"/>
          <w:szCs w:val="26"/>
          <w:highlight w:val="none"/>
          <w:lang w:eastAsia="ru-RU"/>
        </w:rPr>
        <w:t xml:space="preserve">материальн</w:t>
      </w:r>
      <w:r>
        <w:rPr>
          <w:rFonts w:ascii="PT Astra Serif" w:hAnsi="PT Astra Serif" w:cs="Times New Roman" w:eastAsia="Times New Roman"/>
          <w:color w:val="000000"/>
          <w:position w:val="7"/>
          <w:sz w:val="25"/>
          <w:szCs w:val="26"/>
          <w:highlight w:val="none"/>
          <w:lang w:eastAsia="ru-RU"/>
        </w:rPr>
        <w:t xml:space="preserve">ое</w:t>
      </w:r>
      <w:r>
        <w:rPr>
          <w:rFonts w:ascii="PT Astra Serif" w:hAnsi="PT Astra Serif" w:cs="Times New Roman" w:eastAsia="Times New Roman"/>
          <w:color w:val="000000"/>
          <w:position w:val="7"/>
          <w:sz w:val="25"/>
          <w:szCs w:val="26"/>
          <w:highlight w:val="none"/>
          <w:lang w:eastAsia="ru-RU"/>
        </w:rPr>
        <w:t xml:space="preserve"> и нематериальное поощрение</w:t>
      </w:r>
      <w:r>
        <w:rPr>
          <w:rFonts w:ascii="PT Astra Serif" w:hAnsi="PT Astra Serif" w:cs="Times New Roman" w:eastAsia="Times New Roman"/>
          <w:color w:val="000000"/>
          <w:position w:val="7"/>
          <w:sz w:val="25"/>
          <w:szCs w:val="26"/>
          <w:highlight w:val="none"/>
          <w:lang w:eastAsia="ru-RU"/>
        </w:rPr>
        <w:t xml:space="preserve"> работников</w:t>
      </w:r>
      <w:r>
        <w:rPr>
          <w:rFonts w:ascii="PT Astra Serif" w:hAnsi="PT Astra Serif" w:cs="Times New Roman" w:eastAsia="Times New Roman"/>
          <w:color w:val="000000"/>
          <w:position w:val="7"/>
          <w:sz w:val="25"/>
          <w:szCs w:val="26"/>
          <w:highlight w:val="none"/>
          <w:lang w:eastAsia="ru-RU"/>
        </w:rPr>
        <w:t xml:space="preserve">, участвующих в программе, формирование в коллективе культуры здоровья, безопасности</w:t>
      </w:r>
      <w:r>
        <w:rPr>
          <w:rFonts w:ascii="PT Astra Serif" w:hAnsi="PT Astra Serif" w:cs="Times New Roman" w:eastAsia="Times New Roman"/>
          <w:color w:val="000000"/>
          <w:position w:val="7"/>
          <w:sz w:val="25"/>
          <w:szCs w:val="26"/>
          <w:highlight w:val="none"/>
          <w:lang w:eastAsia="ru-RU"/>
        </w:rPr>
        <w:t xml:space="preserve">.</w:t>
      </w:r>
      <w:r>
        <w:rPr>
          <w:sz w:val="25"/>
          <w:highlight w:val="none"/>
        </w:rPr>
      </w:r>
      <w:r/>
    </w:p>
    <w:p>
      <w:pPr>
        <w:jc w:val="both"/>
        <w:spacing w:lineRule="auto" w:line="240" w:after="0"/>
        <w:rPr>
          <w:rFonts w:ascii="PT Astra Serif" w:hAnsi="PT Astra Serif" w:cs="Times New Roman" w:eastAsia="Times New Roman"/>
          <w:color w:val="000000"/>
          <w:position w:val="7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color w:val="000000"/>
          <w:position w:val="7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p>
      <w:pPr>
        <w:pStyle w:val="926"/>
        <w:numPr>
          <w:ilvl w:val="0"/>
          <w:numId w:val="19"/>
        </w:numPr>
        <w:jc w:val="both"/>
        <w:spacing w:lineRule="auto" w:line="240" w:after="0"/>
        <w:rPr>
          <w:rFonts w:ascii="PT Astra Serif" w:hAnsi="PT Astra Serif" w:cs="Times New Roman" w:eastAsia="Times New Roman"/>
          <w:b/>
          <w:color w:val="000000"/>
          <w:position w:val="7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b/>
          <w:color w:val="000000"/>
          <w:position w:val="7"/>
          <w:sz w:val="25"/>
          <w:szCs w:val="26"/>
          <w:highlight w:val="none"/>
          <w:lang w:eastAsia="ru-RU"/>
        </w:rPr>
        <w:t xml:space="preserve">Критерии оценки эффективности пр</w:t>
      </w:r>
      <w:r>
        <w:rPr>
          <w:rFonts w:ascii="PT Astra Serif" w:hAnsi="PT Astra Serif" w:cs="Times New Roman" w:eastAsia="Times New Roman"/>
          <w:b/>
          <w:color w:val="000000"/>
          <w:position w:val="7"/>
          <w:sz w:val="25"/>
          <w:szCs w:val="26"/>
          <w:highlight w:val="none"/>
          <w:lang w:eastAsia="ru-RU"/>
        </w:rPr>
        <w:t xml:space="preserve">ограммы корпоративного здоровья</w:t>
      </w:r>
      <w:r>
        <w:rPr>
          <w:sz w:val="25"/>
          <w:highlight w:val="none"/>
        </w:rPr>
      </w:r>
      <w:r/>
    </w:p>
    <w:p>
      <w:pPr>
        <w:pStyle w:val="926"/>
        <w:jc w:val="both"/>
        <w:spacing w:lineRule="auto" w:line="240" w:after="0"/>
        <w:rPr>
          <w:rFonts w:ascii="PT Astra Serif" w:hAnsi="PT Astra Serif" w:cs="Times New Roman" w:eastAsia="Times New Roman"/>
          <w:b/>
          <w:color w:val="000000"/>
          <w:position w:val="7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b/>
          <w:color w:val="000000"/>
          <w:position w:val="7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tbl>
      <w:tblPr>
        <w:tblStyle w:val="927"/>
        <w:tblW w:w="10774" w:type="dxa"/>
        <w:tblInd w:w="-856" w:type="dxa"/>
        <w:tblLook w:val="04A0" w:firstRow="1" w:lastRow="0" w:firstColumn="1" w:lastColumn="0" w:noHBand="0" w:noVBand="1"/>
      </w:tblPr>
      <w:tblGrid>
        <w:gridCol w:w="709"/>
        <w:gridCol w:w="5954"/>
        <w:gridCol w:w="4111"/>
      </w:tblGrid>
      <w:tr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№ 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95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-BoldMT"/>
                <w:b/>
                <w:bCs/>
                <w:sz w:val="25"/>
                <w:szCs w:val="26"/>
                <w:highlight w:val="none"/>
              </w:rPr>
              <w:t xml:space="preserve">Показатель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-BoldMT"/>
                <w:b/>
                <w:bCs/>
                <w:sz w:val="25"/>
                <w:szCs w:val="26"/>
                <w:highlight w:val="none"/>
              </w:rPr>
              <w:t xml:space="preserve">Как оценивать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1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Приверженность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 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учреждения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 принципам ЗОЖ зафикси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рована во внутренних и внешних документах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ДА/НЕТ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2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Рабочие места безопасны для здоровья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% от общего числа рабочих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 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мест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3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Работники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 обеспечены здоровым питанием и возможностями для полезных перекусов в течение дня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% от общего числа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4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Работники 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имеют возможность для физической активности в течение дня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% от общего числа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5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Работника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м оказывается психологическая помощь и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 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поддержка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%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, которым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 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доступна услуга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6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Учреждение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 организует собственные спортивные мероприятия для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 или помогает участвовать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 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во внешних мероприятиях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Количество мероприятий в год, общее кол-во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 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участников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7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Учреждение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 поддерживает волонтерские проекты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 по продвижению ЗОЖ среди коллег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Количество проектов,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 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количество участников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8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Количество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, которые видели информационные материалы о ЗОЖ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4111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По результатам опроса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:</w:t>
            </w:r>
            <w:r>
              <w:rPr>
                <w:sz w:val="25"/>
                <w:highlight w:val="none"/>
              </w:rPr>
            </w:r>
            <w:r/>
          </w:p>
          <w:p>
            <w:pPr>
              <w:jc w:val="both"/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– точное число % от общего количества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9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Количество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, которые ознакомились с информационными материалами о ЗОЖ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411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>
              <w:rPr>
                <w:rFonts w:ascii="PT Astra Serif" w:hAnsi="PT Astra Serif" w:cs="ArialMT"/>
                <w:sz w:val="26"/>
                <w:szCs w:val="26"/>
              </w:rPr>
            </w:r>
            <w:r/>
          </w:p>
        </w:tc>
      </w:tr>
      <w:tr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10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Количество публикаций на внутрикорпоративном сайте/в корпоративных СМИ/социальных сетях 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учреждения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4111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Количество публикаций 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11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Количество публикаций в личных аккаунтах 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411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>
              <w:rPr>
                <w:rFonts w:ascii="PT Astra Serif" w:hAnsi="PT Astra Serif" w:cs="ArialMT"/>
                <w:sz w:val="26"/>
                <w:szCs w:val="26"/>
              </w:rPr>
            </w:r>
            <w:r/>
          </w:p>
        </w:tc>
      </w:tr>
      <w:tr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12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Количество пров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еденных образовательных меропри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ятий о различных а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спектах ЗОЖ и количество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 – участников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Статистика мероприятий 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13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Количество участников опросов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Статистика участников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14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Количество посетителей/просмотров страницы,</w:t>
            </w:r>
            <w:r>
              <w:rPr>
                <w:sz w:val="25"/>
                <w:highlight w:val="none"/>
              </w:rPr>
            </w:r>
            <w:r/>
          </w:p>
          <w:p>
            <w:pPr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посвященной ЗОЖ, на внутрикорпоративном сайте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Статистика сайта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15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Количество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, сбросивших вес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.</w:t>
            </w:r>
            <w:r>
              <w:rPr>
                <w:sz w:val="25"/>
                <w:highlight w:val="none"/>
              </w:rPr>
            </w:r>
            <w:r/>
          </w:p>
          <w:p>
            <w:pPr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Количество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, регулярно употребляющих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 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полезные продукты (фрукты, овощи, рыбу, кисломолочные продукты и пр.)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.</w:t>
            </w:r>
            <w:r>
              <w:rPr>
                <w:sz w:val="25"/>
                <w:highlight w:val="none"/>
              </w:rPr>
            </w:r>
            <w:r/>
          </w:p>
          <w:p>
            <w:pPr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Количество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, регулярно занимающихся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 спортом.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На первом этапе проводится опрос </w:t>
            </w: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работников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, который включает сбор данных о вредных п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ривычках и планах отказа от них, на втором этапе оценивается % работников </w:t>
            </w: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достигших поставленных целей по каждому показателю. </w:t>
            </w:r>
            <w:r>
              <w:rPr>
                <w:sz w:val="25"/>
                <w:highlight w:val="none"/>
              </w:rPr>
            </w:r>
            <w:r/>
          </w:p>
        </w:tc>
      </w:tr>
      <w:tr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6"/>
                <w:highlight w:val="none"/>
                <w:lang w:eastAsia="ru-RU"/>
              </w:rPr>
              <w:t xml:space="preserve">16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  <w:t xml:space="preserve">Снижение количества дней временной нетрудоспособности </w:t>
            </w:r>
            <w:r>
              <w:rPr>
                <w:sz w:val="25"/>
                <w:highlight w:val="none"/>
              </w:rPr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rPr>
                <w:rFonts w:ascii="PT Astra Serif" w:hAnsi="PT Astra Serif" w:cs="ArialMT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ArialMT"/>
                <w:sz w:val="25"/>
                <w:szCs w:val="26"/>
                <w:highlight w:val="none"/>
              </w:rPr>
            </w:r>
            <w:r>
              <w:rPr>
                <w:sz w:val="25"/>
                <w:highlight w:val="none"/>
              </w:rPr>
            </w:r>
            <w:r/>
          </w:p>
        </w:tc>
      </w:tr>
    </w:tbl>
    <w:p>
      <w:pPr>
        <w:jc w:val="both"/>
        <w:spacing w:lineRule="auto" w:line="240" w:after="0"/>
        <w:rPr>
          <w:rFonts w:ascii="PT Astra Serif" w:hAnsi="PT Astra Serif" w:cs="Times New Roman" w:eastAsia="Times New Roman"/>
          <w:sz w:val="25"/>
          <w:szCs w:val="26"/>
          <w:highlight w:val="none"/>
        </w:rPr>
      </w:pPr>
      <w:r>
        <w:rPr>
          <w:rFonts w:ascii="PT Astra Serif" w:hAnsi="PT Astra Serif" w:cs="Times New Roman" w:eastAsia="Times New Roman"/>
          <w:sz w:val="25"/>
          <w:szCs w:val="26"/>
          <w:highlight w:val="none"/>
          <w:lang w:eastAsia="ru-RU"/>
        </w:rPr>
      </w:r>
      <w:r>
        <w:rPr>
          <w:sz w:val="25"/>
          <w:highlight w:val="none"/>
        </w:rPr>
      </w:r>
      <w:r/>
    </w:p>
    <w:sectPr>
      <w:footerReference w:type="default" r:id="rId9"/>
      <w:footnotePr/>
      <w:endnotePr/>
      <w:type w:val="nextPage"/>
      <w:pgSz w:w="11906" w:h="16838" w:orient="portrait"/>
      <w:pgMar w:top="1134" w:right="850" w:bottom="0" w:left="1701" w:header="708" w:footer="708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mt">
    <w:panose1 w:val="020B0604020202020204"/>
  </w:font>
  <w:font w:name="Calibri">
    <w:panose1 w:val="020F0502020204030204"/>
  </w:font>
  <w:font w:name="Segoe UI">
    <w:panose1 w:val="020B0502040504020204"/>
  </w:font>
  <w:font w:name="Symbol">
    <w:panose1 w:val="05010000000000000000"/>
  </w:font>
  <w:font w:name="Courier New">
    <w:panose1 w:val="02070309020205020404"/>
  </w:font>
  <w:font w:name="arial-boldmt">
    <w:panose1 w:val="020B0604020202020204"/>
  </w:font>
  <w:font w:name="Wingdings">
    <w:panose1 w:val="05010000000000000000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6991454"/>
      <w:docPartObj>
        <w:docPartGallery w:val="Page Numbers (Bottom of Page)"/>
        <w:docPartUnique w:val="true"/>
      </w:docPartObj>
      <w:rPr/>
    </w:sdtPr>
    <w:sdtContent>
      <w:p>
        <w:pPr>
          <w:pStyle w:val="93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 xml:space="preserve">2</w:t>
        </w:r>
        <w:r>
          <w:fldChar w:fldCharType="end"/>
        </w:r>
        <w:r/>
      </w:p>
    </w:sdtContent>
  </w:sdt>
  <w:p>
    <w:pPr>
      <w:pStyle w:val="93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  <w:tabs>
          <w:tab w:val="num" w:pos="720" w:leader="none"/>
        </w:tabs>
      </w:pPr>
      <w:rPr>
        <w:rFonts w:ascii="Wingdings" w:hAnsi="Wingdings" w:hint="default"/>
      </w:rPr>
    </w:lvl>
    <w:lvl w:ilvl="1">
      <w:start w:val="1"/>
      <w:numFmt w:val="bullet"/>
      <w:isLgl w:val="false"/>
      <w:suff w:val="tab"/>
      <w:lvlText w:val=""/>
      <w:lvlJc w:val="left"/>
      <w:pPr>
        <w:ind w:left="1440" w:hanging="360"/>
        <w:tabs>
          <w:tab w:val="num" w:pos="1440" w:leader="none"/>
        </w:tabs>
      </w:pPr>
      <w:rPr>
        <w:rFonts w:ascii="Wingdings" w:hAnsi="Wingdings" w:hint="default"/>
      </w:rPr>
    </w:lvl>
    <w:lvl w:ilvl="2">
      <w:start w:val="1"/>
      <w:numFmt w:val="bullet"/>
      <w:isLgl w:val="false"/>
      <w:suff w:val="tab"/>
      <w:lvlText w:val="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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</w:rPr>
    </w:lvl>
    <w:lvl w:ilvl="4">
      <w:start w:val="1"/>
      <w:numFmt w:val="bullet"/>
      <w:isLgl w:val="false"/>
      <w:suff w:val="tab"/>
      <w:lvlText w:val="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</w:rPr>
    </w:lvl>
    <w:lvl w:ilvl="5">
      <w:start w:val="1"/>
      <w:numFmt w:val="bullet"/>
      <w:isLgl w:val="false"/>
      <w:suff w:val="tab"/>
      <w:lvlText w:val="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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</w:rPr>
    </w:lvl>
    <w:lvl w:ilvl="7">
      <w:start w:val="1"/>
      <w:numFmt w:val="bullet"/>
      <w:isLgl w:val="false"/>
      <w:suff w:val="tab"/>
      <w:lvlText w:val="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</w:rPr>
    </w:lvl>
    <w:lvl w:ilvl="8">
      <w:start w:val="1"/>
      <w:numFmt w:val="bullet"/>
      <w:isLgl w:val="false"/>
      <w:suff w:val="tab"/>
      <w:lvlText w:val="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720" w:hanging="360"/>
        <w:tabs>
          <w:tab w:val="num" w:pos="720" w:leader="none"/>
        </w:tabs>
      </w:pPr>
      <w:rPr>
        <w:rFonts w:ascii="Arial" w:hAnsi="Arial" w:hint="default"/>
      </w:rPr>
    </w:lvl>
    <w:lvl w:ilvl="1">
      <w:start w:val="1"/>
      <w:numFmt w:val="bullet"/>
      <w:isLgl w:val="false"/>
      <w:suff w:val="tab"/>
      <w:lvlText w:val="•"/>
      <w:lvlJc w:val="left"/>
      <w:pPr>
        <w:ind w:left="1440" w:hanging="360"/>
        <w:tabs>
          <w:tab w:val="num" w:pos="1440" w:leader="none"/>
        </w:tabs>
      </w:pPr>
      <w:rPr>
        <w:rFonts w:ascii="Arial" w:hAnsi="Arial" w:hint="default"/>
      </w:rPr>
    </w:lvl>
    <w:lvl w:ilvl="2">
      <w:start w:val="1"/>
      <w:numFmt w:val="bullet"/>
      <w:isLgl w:val="false"/>
      <w:suff w:val="tab"/>
      <w:lvlText w:val="•"/>
      <w:lvlJc w:val="left"/>
      <w:pPr>
        <w:ind w:left="2160" w:hanging="360"/>
        <w:tabs>
          <w:tab w:val="num" w:pos="2160" w:leader="none"/>
        </w:tabs>
      </w:pPr>
      <w:rPr>
        <w:rFonts w:ascii="Arial" w:hAnsi="Arial" w:hint="default"/>
      </w:rPr>
    </w:lvl>
    <w:lvl w:ilvl="3">
      <w:start w:val="1"/>
      <w:numFmt w:val="bullet"/>
      <w:isLgl w:val="false"/>
      <w:suff w:val="tab"/>
      <w:lvlText w:val="•"/>
      <w:lvlJc w:val="left"/>
      <w:pPr>
        <w:ind w:left="2880" w:hanging="360"/>
        <w:tabs>
          <w:tab w:val="num" w:pos="2880" w:leader="none"/>
        </w:tabs>
      </w:pPr>
      <w:rPr>
        <w:rFonts w:ascii="Arial" w:hAnsi="Arial" w:hint="default"/>
      </w:rPr>
    </w:lvl>
    <w:lvl w:ilvl="4">
      <w:start w:val="1"/>
      <w:numFmt w:val="bullet"/>
      <w:isLgl w:val="false"/>
      <w:suff w:val="tab"/>
      <w:lvlText w:val="•"/>
      <w:lvlJc w:val="left"/>
      <w:pPr>
        <w:ind w:left="3600" w:hanging="360"/>
        <w:tabs>
          <w:tab w:val="num" w:pos="3600" w:leader="none"/>
        </w:tabs>
      </w:pPr>
      <w:rPr>
        <w:rFonts w:ascii="Arial" w:hAnsi="Arial" w:hint="default"/>
      </w:rPr>
    </w:lvl>
    <w:lvl w:ilvl="5">
      <w:start w:val="1"/>
      <w:numFmt w:val="bullet"/>
      <w:isLgl w:val="false"/>
      <w:suff w:val="tab"/>
      <w:lvlText w:val="•"/>
      <w:lvlJc w:val="left"/>
      <w:pPr>
        <w:ind w:left="4320" w:hanging="360"/>
        <w:tabs>
          <w:tab w:val="num" w:pos="4320" w:leader="none"/>
        </w:tabs>
      </w:pPr>
      <w:rPr>
        <w:rFonts w:ascii="Arial" w:hAnsi="Arial" w:hint="default"/>
      </w:rPr>
    </w:lvl>
    <w:lvl w:ilvl="6">
      <w:start w:val="1"/>
      <w:numFmt w:val="bullet"/>
      <w:isLgl w:val="false"/>
      <w:suff w:val="tab"/>
      <w:lvlText w:val="•"/>
      <w:lvlJc w:val="left"/>
      <w:pPr>
        <w:ind w:left="5040" w:hanging="360"/>
        <w:tabs>
          <w:tab w:val="num" w:pos="5040" w:leader="none"/>
        </w:tabs>
      </w:pPr>
      <w:rPr>
        <w:rFonts w:ascii="Arial" w:hAnsi="Arial" w:hint="default"/>
      </w:rPr>
    </w:lvl>
    <w:lvl w:ilvl="7">
      <w:start w:val="1"/>
      <w:numFmt w:val="bullet"/>
      <w:isLgl w:val="false"/>
      <w:suff w:val="tab"/>
      <w:lvlText w:val="•"/>
      <w:lvlJc w:val="left"/>
      <w:pPr>
        <w:ind w:left="5760" w:hanging="360"/>
        <w:tabs>
          <w:tab w:val="num" w:pos="5760" w:leader="none"/>
        </w:tabs>
      </w:pPr>
      <w:rPr>
        <w:rFonts w:ascii="Arial" w:hAnsi="Arial" w:hint="default"/>
      </w:rPr>
    </w:lvl>
    <w:lvl w:ilvl="8">
      <w:start w:val="1"/>
      <w:numFmt w:val="bullet"/>
      <w:isLgl w:val="false"/>
      <w:suff w:val="tab"/>
      <w:lvlText w:val="•"/>
      <w:lvlJc w:val="left"/>
      <w:pPr>
        <w:ind w:left="6480" w:hanging="360"/>
        <w:tabs>
          <w:tab w:val="num" w:pos="6480" w:leader="none"/>
        </w:tabs>
      </w:pPr>
      <w:rPr>
        <w:rFonts w:ascii="Arial" w:hAnsi="Arial"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  <w:tabs>
          <w:tab w:val="num" w:pos="720" w:leader="none"/>
        </w:tabs>
      </w:pPr>
      <w:rPr>
        <w:rFonts w:ascii="Wingdings" w:hAnsi="Wingdings" w:hint="default"/>
      </w:rPr>
    </w:lvl>
    <w:lvl w:ilvl="1">
      <w:start w:val="1"/>
      <w:numFmt w:val="bullet"/>
      <w:isLgl w:val="false"/>
      <w:suff w:val="tab"/>
      <w:lvlText w:val=""/>
      <w:lvlJc w:val="left"/>
      <w:pPr>
        <w:ind w:left="1440" w:hanging="360"/>
        <w:tabs>
          <w:tab w:val="num" w:pos="1440" w:leader="none"/>
        </w:tabs>
      </w:pPr>
      <w:rPr>
        <w:rFonts w:ascii="Wingdings" w:hAnsi="Wingdings" w:hint="default"/>
      </w:rPr>
    </w:lvl>
    <w:lvl w:ilvl="2">
      <w:start w:val="1"/>
      <w:numFmt w:val="bullet"/>
      <w:isLgl w:val="false"/>
      <w:suff w:val="tab"/>
      <w:lvlText w:val="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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</w:rPr>
    </w:lvl>
    <w:lvl w:ilvl="4">
      <w:start w:val="1"/>
      <w:numFmt w:val="bullet"/>
      <w:isLgl w:val="false"/>
      <w:suff w:val="tab"/>
      <w:lvlText w:val="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</w:rPr>
    </w:lvl>
    <w:lvl w:ilvl="5">
      <w:start w:val="1"/>
      <w:numFmt w:val="bullet"/>
      <w:isLgl w:val="false"/>
      <w:suff w:val="tab"/>
      <w:lvlText w:val="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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</w:rPr>
    </w:lvl>
    <w:lvl w:ilvl="7">
      <w:start w:val="1"/>
      <w:numFmt w:val="bullet"/>
      <w:isLgl w:val="false"/>
      <w:suff w:val="tab"/>
      <w:lvlText w:val="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</w:rPr>
    </w:lvl>
    <w:lvl w:ilvl="8">
      <w:start w:val="1"/>
      <w:numFmt w:val="bullet"/>
      <w:isLgl w:val="false"/>
      <w:suff w:val="tab"/>
      <w:lvlText w:val="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  <w:tabs>
          <w:tab w:val="num" w:pos="720" w:leader="none"/>
        </w:tabs>
      </w:pPr>
      <w:rPr>
        <w:rFonts w:ascii="Wingdings" w:hAnsi="Wingdings" w:hint="default"/>
      </w:rPr>
    </w:lvl>
    <w:lvl w:ilvl="1">
      <w:start w:val="1"/>
      <w:numFmt w:val="bullet"/>
      <w:isLgl w:val="false"/>
      <w:suff w:val="tab"/>
      <w:lvlText w:val=""/>
      <w:lvlJc w:val="left"/>
      <w:pPr>
        <w:ind w:left="1440" w:hanging="360"/>
        <w:tabs>
          <w:tab w:val="num" w:pos="1440" w:leader="none"/>
        </w:tabs>
      </w:pPr>
      <w:rPr>
        <w:rFonts w:ascii="Wingdings" w:hAnsi="Wingdings" w:hint="default"/>
      </w:rPr>
    </w:lvl>
    <w:lvl w:ilvl="2">
      <w:start w:val="1"/>
      <w:numFmt w:val="bullet"/>
      <w:isLgl w:val="false"/>
      <w:suff w:val="tab"/>
      <w:lvlText w:val="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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</w:rPr>
    </w:lvl>
    <w:lvl w:ilvl="4">
      <w:start w:val="1"/>
      <w:numFmt w:val="bullet"/>
      <w:isLgl w:val="false"/>
      <w:suff w:val="tab"/>
      <w:lvlText w:val="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</w:rPr>
    </w:lvl>
    <w:lvl w:ilvl="5">
      <w:start w:val="1"/>
      <w:numFmt w:val="bullet"/>
      <w:isLgl w:val="false"/>
      <w:suff w:val="tab"/>
      <w:lvlText w:val="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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</w:rPr>
    </w:lvl>
    <w:lvl w:ilvl="7">
      <w:start w:val="1"/>
      <w:numFmt w:val="bullet"/>
      <w:isLgl w:val="false"/>
      <w:suff w:val="tab"/>
      <w:lvlText w:val="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</w:rPr>
    </w:lvl>
    <w:lvl w:ilvl="8">
      <w:start w:val="1"/>
      <w:numFmt w:val="bullet"/>
      <w:isLgl w:val="false"/>
      <w:suff w:val="tab"/>
      <w:lvlText w:val="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</w:rPr>
    </w:lvl>
  </w:abstractNum>
  <w:abstractNum w:abstractNumId="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o"/>
      <w:lvlJc w:val="left"/>
      <w:pPr>
        <w:ind w:left="720" w:hanging="360"/>
        <w:tabs>
          <w:tab w:val="num" w:pos="720" w:leader="none"/>
        </w:tabs>
      </w:pPr>
      <w:rPr>
        <w:rFonts w:ascii="Courier New" w:hAnsi="Courier New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</w:rPr>
    </w:lvl>
    <w:lvl w:ilvl="2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ascii="Courier New" w:hAnsi="Courier New" w:hint="default"/>
      </w:rPr>
    </w:lvl>
    <w:lvl w:ilvl="3">
      <w:start w:val="1"/>
      <w:numFmt w:val="bullet"/>
      <w:isLgl w:val="false"/>
      <w:suff w:val="tab"/>
      <w:lvlText w:val="o"/>
      <w:lvlJc w:val="left"/>
      <w:pPr>
        <w:ind w:left="2880" w:hanging="360"/>
        <w:tabs>
          <w:tab w:val="num" w:pos="2880" w:leader="none"/>
        </w:tabs>
      </w:pPr>
      <w:rPr>
        <w:rFonts w:ascii="Courier New" w:hAnsi="Courier New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hint="default"/>
      </w:rPr>
    </w:lvl>
    <w:lvl w:ilvl="5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ascii="Courier New" w:hAnsi="Courier New" w:hint="default"/>
      </w:rPr>
    </w:lvl>
    <w:lvl w:ilvl="6">
      <w:start w:val="1"/>
      <w:numFmt w:val="bullet"/>
      <w:isLgl w:val="false"/>
      <w:suff w:val="tab"/>
      <w:lvlText w:val="o"/>
      <w:lvlJc w:val="left"/>
      <w:pPr>
        <w:ind w:left="5040" w:hanging="360"/>
        <w:tabs>
          <w:tab w:val="num" w:pos="5040" w:leader="none"/>
        </w:tabs>
      </w:pPr>
      <w:rPr>
        <w:rFonts w:ascii="Courier New" w:hAnsi="Courier New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hint="default"/>
      </w:rPr>
    </w:lvl>
    <w:lvl w:ilvl="8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ascii="Courier New" w:hAnsi="Courier New" w:hint="default"/>
      </w:rPr>
    </w:lvl>
  </w:abstractNum>
  <w:abstractNum w:abstractNumId="11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  <w:tabs>
          <w:tab w:val="num" w:pos="720" w:leader="none"/>
        </w:tabs>
      </w:pPr>
      <w:rPr>
        <w:rFonts w:ascii="Wingdings" w:hAnsi="Wingdings" w:hint="default"/>
      </w:rPr>
    </w:lvl>
    <w:lvl w:ilvl="1">
      <w:start w:val="1"/>
      <w:numFmt w:val="bullet"/>
      <w:isLgl w:val="false"/>
      <w:suff w:val="tab"/>
      <w:lvlText w:val=""/>
      <w:lvlJc w:val="left"/>
      <w:pPr>
        <w:ind w:left="1440" w:hanging="360"/>
        <w:tabs>
          <w:tab w:val="num" w:pos="1440" w:leader="none"/>
        </w:tabs>
      </w:pPr>
      <w:rPr>
        <w:rFonts w:ascii="Wingdings" w:hAnsi="Wingdings" w:hint="default"/>
      </w:rPr>
    </w:lvl>
    <w:lvl w:ilvl="2">
      <w:start w:val="1"/>
      <w:numFmt w:val="bullet"/>
      <w:isLgl w:val="false"/>
      <w:suff w:val="tab"/>
      <w:lvlText w:val="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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</w:rPr>
    </w:lvl>
    <w:lvl w:ilvl="4">
      <w:start w:val="1"/>
      <w:numFmt w:val="bullet"/>
      <w:isLgl w:val="false"/>
      <w:suff w:val="tab"/>
      <w:lvlText w:val="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</w:rPr>
    </w:lvl>
    <w:lvl w:ilvl="5">
      <w:start w:val="1"/>
      <w:numFmt w:val="bullet"/>
      <w:isLgl w:val="false"/>
      <w:suff w:val="tab"/>
      <w:lvlText w:val="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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</w:rPr>
    </w:lvl>
    <w:lvl w:ilvl="7">
      <w:start w:val="1"/>
      <w:numFmt w:val="bullet"/>
      <w:isLgl w:val="false"/>
      <w:suff w:val="tab"/>
      <w:lvlText w:val="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</w:rPr>
    </w:lvl>
    <w:lvl w:ilvl="8">
      <w:start w:val="1"/>
      <w:numFmt w:val="bullet"/>
      <w:isLgl w:val="false"/>
      <w:suff w:val="tab"/>
      <w:lvlText w:val="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ascii="Symbol" w:hAnsi="Symbol" w:hint="default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ascii="Symbol" w:hAnsi="Symbol" w:hint="default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 w:hint="default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ascii="Symbol" w:hAnsi="Symbol" w:hint="default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ascii="Symbol" w:hAnsi="Symbol" w:hint="default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 w:hint="default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ascii="Symbol" w:hAnsi="Symbol" w:hint="default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ascii="Symbol" w:hAnsi="Symbol" w:hint="default"/>
        <w:sz w:val="20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720" w:hanging="360"/>
        <w:tabs>
          <w:tab w:val="num" w:pos="720" w:leader="none"/>
        </w:tabs>
      </w:pPr>
      <w:rPr>
        <w:rFonts w:ascii="Arial" w:hAnsi="Arial" w:hint="default"/>
      </w:rPr>
    </w:lvl>
    <w:lvl w:ilvl="1">
      <w:start w:val="1"/>
      <w:numFmt w:val="bullet"/>
      <w:isLgl w:val="false"/>
      <w:suff w:val="tab"/>
      <w:lvlText w:val="•"/>
      <w:lvlJc w:val="left"/>
      <w:pPr>
        <w:ind w:left="1440" w:hanging="360"/>
        <w:tabs>
          <w:tab w:val="num" w:pos="1440" w:leader="none"/>
        </w:tabs>
      </w:pPr>
      <w:rPr>
        <w:rFonts w:ascii="Arial" w:hAnsi="Arial" w:hint="default"/>
      </w:rPr>
    </w:lvl>
    <w:lvl w:ilvl="2">
      <w:start w:val="1"/>
      <w:numFmt w:val="bullet"/>
      <w:isLgl w:val="false"/>
      <w:suff w:val="tab"/>
      <w:lvlText w:val="•"/>
      <w:lvlJc w:val="left"/>
      <w:pPr>
        <w:ind w:left="2160" w:hanging="360"/>
        <w:tabs>
          <w:tab w:val="num" w:pos="2160" w:leader="none"/>
        </w:tabs>
      </w:pPr>
      <w:rPr>
        <w:rFonts w:ascii="Arial" w:hAnsi="Arial" w:hint="default"/>
      </w:rPr>
    </w:lvl>
    <w:lvl w:ilvl="3">
      <w:start w:val="1"/>
      <w:numFmt w:val="bullet"/>
      <w:isLgl w:val="false"/>
      <w:suff w:val="tab"/>
      <w:lvlText w:val="•"/>
      <w:lvlJc w:val="left"/>
      <w:pPr>
        <w:ind w:left="2880" w:hanging="360"/>
        <w:tabs>
          <w:tab w:val="num" w:pos="2880" w:leader="none"/>
        </w:tabs>
      </w:pPr>
      <w:rPr>
        <w:rFonts w:ascii="Arial" w:hAnsi="Arial" w:hint="default"/>
      </w:rPr>
    </w:lvl>
    <w:lvl w:ilvl="4">
      <w:start w:val="1"/>
      <w:numFmt w:val="bullet"/>
      <w:isLgl w:val="false"/>
      <w:suff w:val="tab"/>
      <w:lvlText w:val="•"/>
      <w:lvlJc w:val="left"/>
      <w:pPr>
        <w:ind w:left="3600" w:hanging="360"/>
        <w:tabs>
          <w:tab w:val="num" w:pos="3600" w:leader="none"/>
        </w:tabs>
      </w:pPr>
      <w:rPr>
        <w:rFonts w:ascii="Arial" w:hAnsi="Arial" w:hint="default"/>
      </w:rPr>
    </w:lvl>
    <w:lvl w:ilvl="5">
      <w:start w:val="1"/>
      <w:numFmt w:val="bullet"/>
      <w:isLgl w:val="false"/>
      <w:suff w:val="tab"/>
      <w:lvlText w:val="•"/>
      <w:lvlJc w:val="left"/>
      <w:pPr>
        <w:ind w:left="4320" w:hanging="360"/>
        <w:tabs>
          <w:tab w:val="num" w:pos="4320" w:leader="none"/>
        </w:tabs>
      </w:pPr>
      <w:rPr>
        <w:rFonts w:ascii="Arial" w:hAnsi="Arial" w:hint="default"/>
      </w:rPr>
    </w:lvl>
    <w:lvl w:ilvl="6">
      <w:start w:val="1"/>
      <w:numFmt w:val="bullet"/>
      <w:isLgl w:val="false"/>
      <w:suff w:val="tab"/>
      <w:lvlText w:val="•"/>
      <w:lvlJc w:val="left"/>
      <w:pPr>
        <w:ind w:left="5040" w:hanging="360"/>
        <w:tabs>
          <w:tab w:val="num" w:pos="5040" w:leader="none"/>
        </w:tabs>
      </w:pPr>
      <w:rPr>
        <w:rFonts w:ascii="Arial" w:hAnsi="Arial" w:hint="default"/>
      </w:rPr>
    </w:lvl>
    <w:lvl w:ilvl="7">
      <w:start w:val="1"/>
      <w:numFmt w:val="bullet"/>
      <w:isLgl w:val="false"/>
      <w:suff w:val="tab"/>
      <w:lvlText w:val="•"/>
      <w:lvlJc w:val="left"/>
      <w:pPr>
        <w:ind w:left="5760" w:hanging="360"/>
        <w:tabs>
          <w:tab w:val="num" w:pos="5760" w:leader="none"/>
        </w:tabs>
      </w:pPr>
      <w:rPr>
        <w:rFonts w:ascii="Arial" w:hAnsi="Arial" w:hint="default"/>
      </w:rPr>
    </w:lvl>
    <w:lvl w:ilvl="8">
      <w:start w:val="1"/>
      <w:numFmt w:val="bullet"/>
      <w:isLgl w:val="false"/>
      <w:suff w:val="tab"/>
      <w:lvlText w:val="•"/>
      <w:lvlJc w:val="left"/>
      <w:pPr>
        <w:ind w:left="6480" w:hanging="360"/>
        <w:tabs>
          <w:tab w:val="num" w:pos="6480" w:leader="none"/>
        </w:tabs>
      </w:pPr>
      <w:rPr>
        <w:rFonts w:ascii="Arial" w:hAnsi="Arial" w:hint="default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ascii="Symbol" w:hAnsi="Symbol" w:hint="default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ascii="Symbol" w:hAnsi="Symbol" w:hint="default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 w:hint="default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ascii="Symbol" w:hAnsi="Symbol" w:hint="default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ascii="Symbol" w:hAnsi="Symbol" w:hint="default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 w:hint="default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ascii="Symbol" w:hAnsi="Symbol" w:hint="default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ascii="Symbol" w:hAnsi="Symbol" w:hint="default"/>
        <w:sz w:val="20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720" w:hanging="360"/>
        <w:tabs>
          <w:tab w:val="num" w:pos="720" w:leader="none"/>
        </w:tabs>
      </w:pPr>
      <w:rPr>
        <w:rFonts w:ascii="Arial" w:hAnsi="Arial" w:hint="default"/>
      </w:rPr>
    </w:lvl>
    <w:lvl w:ilvl="1">
      <w:start w:val="1"/>
      <w:numFmt w:val="bullet"/>
      <w:isLgl w:val="false"/>
      <w:suff w:val="tab"/>
      <w:lvlText w:val="•"/>
      <w:lvlJc w:val="left"/>
      <w:pPr>
        <w:ind w:left="1440" w:hanging="360"/>
        <w:tabs>
          <w:tab w:val="num" w:pos="1440" w:leader="none"/>
        </w:tabs>
      </w:pPr>
      <w:rPr>
        <w:rFonts w:ascii="Arial" w:hAnsi="Arial" w:hint="default"/>
      </w:rPr>
    </w:lvl>
    <w:lvl w:ilvl="2">
      <w:start w:val="1"/>
      <w:numFmt w:val="bullet"/>
      <w:isLgl w:val="false"/>
      <w:suff w:val="tab"/>
      <w:lvlText w:val="•"/>
      <w:lvlJc w:val="left"/>
      <w:pPr>
        <w:ind w:left="2160" w:hanging="360"/>
        <w:tabs>
          <w:tab w:val="num" w:pos="2160" w:leader="none"/>
        </w:tabs>
      </w:pPr>
      <w:rPr>
        <w:rFonts w:ascii="Arial" w:hAnsi="Arial" w:hint="default"/>
      </w:rPr>
    </w:lvl>
    <w:lvl w:ilvl="3">
      <w:start w:val="1"/>
      <w:numFmt w:val="bullet"/>
      <w:isLgl w:val="false"/>
      <w:suff w:val="tab"/>
      <w:lvlText w:val="•"/>
      <w:lvlJc w:val="left"/>
      <w:pPr>
        <w:ind w:left="2880" w:hanging="360"/>
        <w:tabs>
          <w:tab w:val="num" w:pos="2880" w:leader="none"/>
        </w:tabs>
      </w:pPr>
      <w:rPr>
        <w:rFonts w:ascii="Arial" w:hAnsi="Arial" w:hint="default"/>
      </w:rPr>
    </w:lvl>
    <w:lvl w:ilvl="4">
      <w:start w:val="1"/>
      <w:numFmt w:val="bullet"/>
      <w:isLgl w:val="false"/>
      <w:suff w:val="tab"/>
      <w:lvlText w:val="•"/>
      <w:lvlJc w:val="left"/>
      <w:pPr>
        <w:ind w:left="3600" w:hanging="360"/>
        <w:tabs>
          <w:tab w:val="num" w:pos="3600" w:leader="none"/>
        </w:tabs>
      </w:pPr>
      <w:rPr>
        <w:rFonts w:ascii="Arial" w:hAnsi="Arial" w:hint="default"/>
      </w:rPr>
    </w:lvl>
    <w:lvl w:ilvl="5">
      <w:start w:val="1"/>
      <w:numFmt w:val="bullet"/>
      <w:isLgl w:val="false"/>
      <w:suff w:val="tab"/>
      <w:lvlText w:val="•"/>
      <w:lvlJc w:val="left"/>
      <w:pPr>
        <w:ind w:left="4320" w:hanging="360"/>
        <w:tabs>
          <w:tab w:val="num" w:pos="4320" w:leader="none"/>
        </w:tabs>
      </w:pPr>
      <w:rPr>
        <w:rFonts w:ascii="Arial" w:hAnsi="Arial" w:hint="default"/>
      </w:rPr>
    </w:lvl>
    <w:lvl w:ilvl="6">
      <w:start w:val="1"/>
      <w:numFmt w:val="bullet"/>
      <w:isLgl w:val="false"/>
      <w:suff w:val="tab"/>
      <w:lvlText w:val="•"/>
      <w:lvlJc w:val="left"/>
      <w:pPr>
        <w:ind w:left="5040" w:hanging="360"/>
        <w:tabs>
          <w:tab w:val="num" w:pos="5040" w:leader="none"/>
        </w:tabs>
      </w:pPr>
      <w:rPr>
        <w:rFonts w:ascii="Arial" w:hAnsi="Arial" w:hint="default"/>
      </w:rPr>
    </w:lvl>
    <w:lvl w:ilvl="7">
      <w:start w:val="1"/>
      <w:numFmt w:val="bullet"/>
      <w:isLgl w:val="false"/>
      <w:suff w:val="tab"/>
      <w:lvlText w:val="•"/>
      <w:lvlJc w:val="left"/>
      <w:pPr>
        <w:ind w:left="5760" w:hanging="360"/>
        <w:tabs>
          <w:tab w:val="num" w:pos="5760" w:leader="none"/>
        </w:tabs>
      </w:pPr>
      <w:rPr>
        <w:rFonts w:ascii="Arial" w:hAnsi="Arial" w:hint="default"/>
      </w:rPr>
    </w:lvl>
    <w:lvl w:ilvl="8">
      <w:start w:val="1"/>
      <w:numFmt w:val="bullet"/>
      <w:isLgl w:val="false"/>
      <w:suff w:val="tab"/>
      <w:lvlText w:val="•"/>
      <w:lvlJc w:val="left"/>
      <w:pPr>
        <w:ind w:left="6480" w:hanging="360"/>
        <w:tabs>
          <w:tab w:val="num" w:pos="6480" w:leader="none"/>
        </w:tabs>
      </w:pPr>
      <w:rPr>
        <w:rFonts w:ascii="Arial" w:hAnsi="Arial" w:hint="default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  <w:tabs>
          <w:tab w:val="num" w:pos="720" w:leader="none"/>
        </w:tabs>
      </w:pPr>
      <w:rPr>
        <w:rFonts w:ascii="Wingdings" w:hAnsi="Wingdings" w:hint="default"/>
      </w:rPr>
    </w:lvl>
    <w:lvl w:ilvl="1">
      <w:start w:val="1"/>
      <w:numFmt w:val="bullet"/>
      <w:isLgl w:val="false"/>
      <w:suff w:val="tab"/>
      <w:lvlText w:val=""/>
      <w:lvlJc w:val="left"/>
      <w:pPr>
        <w:ind w:left="1440" w:hanging="360"/>
        <w:tabs>
          <w:tab w:val="num" w:pos="1440" w:leader="none"/>
        </w:tabs>
      </w:pPr>
      <w:rPr>
        <w:rFonts w:ascii="Wingdings" w:hAnsi="Wingdings" w:hint="default"/>
      </w:rPr>
    </w:lvl>
    <w:lvl w:ilvl="2">
      <w:start w:val="1"/>
      <w:numFmt w:val="bullet"/>
      <w:isLgl w:val="false"/>
      <w:suff w:val="tab"/>
      <w:lvlText w:val="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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</w:rPr>
    </w:lvl>
    <w:lvl w:ilvl="4">
      <w:start w:val="1"/>
      <w:numFmt w:val="bullet"/>
      <w:isLgl w:val="false"/>
      <w:suff w:val="tab"/>
      <w:lvlText w:val="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</w:rPr>
    </w:lvl>
    <w:lvl w:ilvl="5">
      <w:start w:val="1"/>
      <w:numFmt w:val="bullet"/>
      <w:isLgl w:val="false"/>
      <w:suff w:val="tab"/>
      <w:lvlText w:val="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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</w:rPr>
    </w:lvl>
    <w:lvl w:ilvl="7">
      <w:start w:val="1"/>
      <w:numFmt w:val="bullet"/>
      <w:isLgl w:val="false"/>
      <w:suff w:val="tab"/>
      <w:lvlText w:val="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</w:rPr>
    </w:lvl>
    <w:lvl w:ilvl="8">
      <w:start w:val="1"/>
      <w:numFmt w:val="bullet"/>
      <w:isLgl w:val="false"/>
      <w:suff w:val="tab"/>
      <w:lvlText w:val="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  <w:tabs>
          <w:tab w:val="num" w:pos="720" w:leader="none"/>
        </w:tabs>
      </w:pPr>
      <w:rPr>
        <w:rFonts w:ascii="Wingdings" w:hAnsi="Wingdings" w:hint="default"/>
      </w:rPr>
    </w:lvl>
    <w:lvl w:ilvl="1">
      <w:start w:val="1"/>
      <w:numFmt w:val="bullet"/>
      <w:isLgl w:val="false"/>
      <w:suff w:val="tab"/>
      <w:lvlText w:val=""/>
      <w:lvlJc w:val="left"/>
      <w:pPr>
        <w:ind w:left="1440" w:hanging="360"/>
        <w:tabs>
          <w:tab w:val="num" w:pos="1440" w:leader="none"/>
        </w:tabs>
      </w:pPr>
      <w:rPr>
        <w:rFonts w:ascii="Wingdings" w:hAnsi="Wingdings" w:hint="default"/>
      </w:rPr>
    </w:lvl>
    <w:lvl w:ilvl="2">
      <w:start w:val="1"/>
      <w:numFmt w:val="bullet"/>
      <w:isLgl w:val="false"/>
      <w:suff w:val="tab"/>
      <w:lvlText w:val="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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</w:rPr>
    </w:lvl>
    <w:lvl w:ilvl="4">
      <w:start w:val="1"/>
      <w:numFmt w:val="bullet"/>
      <w:isLgl w:val="false"/>
      <w:suff w:val="tab"/>
      <w:lvlText w:val="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</w:rPr>
    </w:lvl>
    <w:lvl w:ilvl="5">
      <w:start w:val="1"/>
      <w:numFmt w:val="bullet"/>
      <w:isLgl w:val="false"/>
      <w:suff w:val="tab"/>
      <w:lvlText w:val="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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</w:rPr>
    </w:lvl>
    <w:lvl w:ilvl="7">
      <w:start w:val="1"/>
      <w:numFmt w:val="bullet"/>
      <w:isLgl w:val="false"/>
      <w:suff w:val="tab"/>
      <w:lvlText w:val="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</w:rPr>
    </w:lvl>
    <w:lvl w:ilvl="8">
      <w:start w:val="1"/>
      <w:numFmt w:val="bullet"/>
      <w:isLgl w:val="false"/>
      <w:suff w:val="tab"/>
      <w:lvlText w:val="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3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ascii="Symbol" w:hAnsi="Symbol" w:hint="default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ascii="Symbol" w:hAnsi="Symbol" w:hint="default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 w:hint="default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ascii="Symbol" w:hAnsi="Symbol" w:hint="default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ascii="Symbol" w:hAnsi="Symbol" w:hint="default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 w:hint="default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ascii="Symbol" w:hAnsi="Symbol" w:hint="default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ascii="Symbol" w:hAnsi="Symbol" w:hint="default"/>
        <w:sz w:val="20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3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1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3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  <w:tabs>
          <w:tab w:val="num" w:pos="720" w:leader="none"/>
        </w:tabs>
      </w:pPr>
      <w:rPr>
        <w:rFonts w:ascii="Wingdings" w:hAnsi="Wingdings" w:hint="default"/>
      </w:rPr>
    </w:lvl>
    <w:lvl w:ilvl="1">
      <w:start w:val="1"/>
      <w:numFmt w:val="bullet"/>
      <w:isLgl w:val="false"/>
      <w:suff w:val="tab"/>
      <w:lvlText w:val=""/>
      <w:lvlJc w:val="left"/>
      <w:pPr>
        <w:ind w:left="1440" w:hanging="360"/>
        <w:tabs>
          <w:tab w:val="num" w:pos="1440" w:leader="none"/>
        </w:tabs>
      </w:pPr>
      <w:rPr>
        <w:rFonts w:ascii="Wingdings" w:hAnsi="Wingdings" w:hint="default"/>
      </w:rPr>
    </w:lvl>
    <w:lvl w:ilvl="2">
      <w:start w:val="1"/>
      <w:numFmt w:val="bullet"/>
      <w:isLgl w:val="false"/>
      <w:suff w:val="tab"/>
      <w:lvlText w:val="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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</w:rPr>
    </w:lvl>
    <w:lvl w:ilvl="4">
      <w:start w:val="1"/>
      <w:numFmt w:val="bullet"/>
      <w:isLgl w:val="false"/>
      <w:suff w:val="tab"/>
      <w:lvlText w:val="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</w:rPr>
    </w:lvl>
    <w:lvl w:ilvl="5">
      <w:start w:val="1"/>
      <w:numFmt w:val="bullet"/>
      <w:isLgl w:val="false"/>
      <w:suff w:val="tab"/>
      <w:lvlText w:val="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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</w:rPr>
    </w:lvl>
    <w:lvl w:ilvl="7">
      <w:start w:val="1"/>
      <w:numFmt w:val="bullet"/>
      <w:isLgl w:val="false"/>
      <w:suff w:val="tab"/>
      <w:lvlText w:val="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</w:rPr>
    </w:lvl>
    <w:lvl w:ilvl="8">
      <w:start w:val="1"/>
      <w:numFmt w:val="bullet"/>
      <w:isLgl w:val="false"/>
      <w:suff w:val="tab"/>
      <w:lvlText w:val="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</w:rPr>
    </w:lvl>
  </w:abstractNum>
  <w:abstractNum w:abstractNumId="44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720" w:hanging="360"/>
        <w:tabs>
          <w:tab w:val="num" w:pos="720" w:leader="none"/>
        </w:tabs>
      </w:pPr>
      <w:rPr>
        <w:rFonts w:ascii="Arial" w:hAnsi="Arial" w:hint="default"/>
      </w:rPr>
    </w:lvl>
    <w:lvl w:ilvl="1">
      <w:start w:val="1"/>
      <w:numFmt w:val="bullet"/>
      <w:isLgl w:val="false"/>
      <w:suff w:val="tab"/>
      <w:lvlText w:val="•"/>
      <w:lvlJc w:val="left"/>
      <w:pPr>
        <w:ind w:left="1440" w:hanging="360"/>
        <w:tabs>
          <w:tab w:val="num" w:pos="1440" w:leader="none"/>
        </w:tabs>
      </w:pPr>
      <w:rPr>
        <w:rFonts w:ascii="Arial" w:hAnsi="Arial" w:hint="default"/>
      </w:rPr>
    </w:lvl>
    <w:lvl w:ilvl="2">
      <w:start w:val="1"/>
      <w:numFmt w:val="bullet"/>
      <w:isLgl w:val="false"/>
      <w:suff w:val="tab"/>
      <w:lvlText w:val="•"/>
      <w:lvlJc w:val="left"/>
      <w:pPr>
        <w:ind w:left="2160" w:hanging="360"/>
        <w:tabs>
          <w:tab w:val="num" w:pos="2160" w:leader="none"/>
        </w:tabs>
      </w:pPr>
      <w:rPr>
        <w:rFonts w:ascii="Arial" w:hAnsi="Arial" w:hint="default"/>
      </w:rPr>
    </w:lvl>
    <w:lvl w:ilvl="3">
      <w:start w:val="1"/>
      <w:numFmt w:val="bullet"/>
      <w:isLgl w:val="false"/>
      <w:suff w:val="tab"/>
      <w:lvlText w:val="•"/>
      <w:lvlJc w:val="left"/>
      <w:pPr>
        <w:ind w:left="2880" w:hanging="360"/>
        <w:tabs>
          <w:tab w:val="num" w:pos="2880" w:leader="none"/>
        </w:tabs>
      </w:pPr>
      <w:rPr>
        <w:rFonts w:ascii="Arial" w:hAnsi="Arial" w:hint="default"/>
      </w:rPr>
    </w:lvl>
    <w:lvl w:ilvl="4">
      <w:start w:val="1"/>
      <w:numFmt w:val="bullet"/>
      <w:isLgl w:val="false"/>
      <w:suff w:val="tab"/>
      <w:lvlText w:val="•"/>
      <w:lvlJc w:val="left"/>
      <w:pPr>
        <w:ind w:left="3600" w:hanging="360"/>
        <w:tabs>
          <w:tab w:val="num" w:pos="3600" w:leader="none"/>
        </w:tabs>
      </w:pPr>
      <w:rPr>
        <w:rFonts w:ascii="Arial" w:hAnsi="Arial" w:hint="default"/>
      </w:rPr>
    </w:lvl>
    <w:lvl w:ilvl="5">
      <w:start w:val="1"/>
      <w:numFmt w:val="bullet"/>
      <w:isLgl w:val="false"/>
      <w:suff w:val="tab"/>
      <w:lvlText w:val="•"/>
      <w:lvlJc w:val="left"/>
      <w:pPr>
        <w:ind w:left="4320" w:hanging="360"/>
        <w:tabs>
          <w:tab w:val="num" w:pos="4320" w:leader="none"/>
        </w:tabs>
      </w:pPr>
      <w:rPr>
        <w:rFonts w:ascii="Arial" w:hAnsi="Arial" w:hint="default"/>
      </w:rPr>
    </w:lvl>
    <w:lvl w:ilvl="6">
      <w:start w:val="1"/>
      <w:numFmt w:val="bullet"/>
      <w:isLgl w:val="false"/>
      <w:suff w:val="tab"/>
      <w:lvlText w:val="•"/>
      <w:lvlJc w:val="left"/>
      <w:pPr>
        <w:ind w:left="5040" w:hanging="360"/>
        <w:tabs>
          <w:tab w:val="num" w:pos="5040" w:leader="none"/>
        </w:tabs>
      </w:pPr>
      <w:rPr>
        <w:rFonts w:ascii="Arial" w:hAnsi="Arial" w:hint="default"/>
      </w:rPr>
    </w:lvl>
    <w:lvl w:ilvl="7">
      <w:start w:val="1"/>
      <w:numFmt w:val="bullet"/>
      <w:isLgl w:val="false"/>
      <w:suff w:val="tab"/>
      <w:lvlText w:val="•"/>
      <w:lvlJc w:val="left"/>
      <w:pPr>
        <w:ind w:left="5760" w:hanging="360"/>
        <w:tabs>
          <w:tab w:val="num" w:pos="5760" w:leader="none"/>
        </w:tabs>
      </w:pPr>
      <w:rPr>
        <w:rFonts w:ascii="Arial" w:hAnsi="Arial" w:hint="default"/>
      </w:rPr>
    </w:lvl>
    <w:lvl w:ilvl="8">
      <w:start w:val="1"/>
      <w:numFmt w:val="bullet"/>
      <w:isLgl w:val="false"/>
      <w:suff w:val="tab"/>
      <w:lvlText w:val="•"/>
      <w:lvlJc w:val="left"/>
      <w:pPr>
        <w:ind w:left="6480" w:hanging="360"/>
        <w:tabs>
          <w:tab w:val="num" w:pos="6480" w:leader="none"/>
        </w:tabs>
      </w:pPr>
      <w:rPr>
        <w:rFonts w:ascii="Arial" w:hAnsi="Arial" w:hint="default"/>
      </w:rPr>
    </w:lvl>
  </w:abstractNum>
  <w:num w:numId="1">
    <w:abstractNumId w:val="14"/>
  </w:num>
  <w:num w:numId="2">
    <w:abstractNumId w:val="34"/>
  </w:num>
  <w:num w:numId="3">
    <w:abstractNumId w:val="27"/>
  </w:num>
  <w:num w:numId="4">
    <w:abstractNumId w:val="22"/>
  </w:num>
  <w:num w:numId="5">
    <w:abstractNumId w:val="30"/>
  </w:num>
  <w:num w:numId="6">
    <w:abstractNumId w:val="35"/>
  </w:num>
  <w:num w:numId="7">
    <w:abstractNumId w:val="17"/>
  </w:num>
  <w:num w:numId="8">
    <w:abstractNumId w:val="13"/>
  </w:num>
  <w:num w:numId="9">
    <w:abstractNumId w:val="6"/>
  </w:num>
  <w:num w:numId="10">
    <w:abstractNumId w:val="32"/>
  </w:num>
  <w:num w:numId="11">
    <w:abstractNumId w:val="29"/>
  </w:num>
  <w:num w:numId="12">
    <w:abstractNumId w:val="2"/>
  </w:num>
  <w:num w:numId="13">
    <w:abstractNumId w:val="9"/>
  </w:num>
  <w:num w:numId="14">
    <w:abstractNumId w:val="37"/>
  </w:num>
  <w:num w:numId="15">
    <w:abstractNumId w:val="41"/>
  </w:num>
  <w:num w:numId="16">
    <w:abstractNumId w:val="15"/>
  </w:num>
  <w:num w:numId="17">
    <w:abstractNumId w:val="33"/>
  </w:num>
  <w:num w:numId="18">
    <w:abstractNumId w:val="11"/>
  </w:num>
  <w:num w:numId="19">
    <w:abstractNumId w:val="3"/>
  </w:num>
  <w:num w:numId="20">
    <w:abstractNumId w:val="23"/>
  </w:num>
  <w:num w:numId="21">
    <w:abstractNumId w:val="44"/>
  </w:num>
  <w:num w:numId="22">
    <w:abstractNumId w:val="5"/>
  </w:num>
  <w:num w:numId="23">
    <w:abstractNumId w:val="16"/>
  </w:num>
  <w:num w:numId="24">
    <w:abstractNumId w:val="31"/>
  </w:num>
  <w:num w:numId="25">
    <w:abstractNumId w:val="36"/>
  </w:num>
  <w:num w:numId="26">
    <w:abstractNumId w:val="25"/>
  </w:num>
  <w:num w:numId="27">
    <w:abstractNumId w:val="42"/>
  </w:num>
  <w:num w:numId="28">
    <w:abstractNumId w:val="7"/>
  </w:num>
  <w:num w:numId="29">
    <w:abstractNumId w:val="20"/>
  </w:num>
  <w:num w:numId="30">
    <w:abstractNumId w:val="43"/>
  </w:num>
  <w:num w:numId="31">
    <w:abstractNumId w:val="26"/>
  </w:num>
  <w:num w:numId="32">
    <w:abstractNumId w:val="40"/>
  </w:num>
  <w:num w:numId="33">
    <w:abstractNumId w:val="0"/>
  </w:num>
  <w:num w:numId="34">
    <w:abstractNumId w:val="21"/>
  </w:num>
  <w:num w:numId="35">
    <w:abstractNumId w:val="10"/>
  </w:num>
  <w:num w:numId="36">
    <w:abstractNumId w:val="28"/>
  </w:num>
  <w:num w:numId="37">
    <w:abstractNumId w:val="4"/>
  </w:num>
  <w:num w:numId="38">
    <w:abstractNumId w:val="18"/>
  </w:num>
  <w:num w:numId="39">
    <w:abstractNumId w:val="8"/>
  </w:num>
  <w:num w:numId="40">
    <w:abstractNumId w:val="1"/>
  </w:num>
  <w:num w:numId="41">
    <w:abstractNumId w:val="39"/>
  </w:num>
  <w:num w:numId="42">
    <w:abstractNumId w:val="24"/>
  </w:num>
  <w:num w:numId="43">
    <w:abstractNumId w:val="12"/>
  </w:num>
  <w:num w:numId="44">
    <w:abstractNumId w:val="38"/>
  </w:num>
  <w:num w:numId="45">
    <w:abstractNumId w:val="19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59" w:after="16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8">
    <w:name w:val="Heading 1"/>
    <w:basedOn w:val="922"/>
    <w:next w:val="922"/>
    <w:link w:val="749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749">
    <w:name w:val="Heading 1 Char"/>
    <w:basedOn w:val="923"/>
    <w:link w:val="748"/>
    <w:uiPriority w:val="9"/>
    <w:rPr>
      <w:rFonts w:ascii="Arial" w:hAnsi="Arial" w:cs="Arial" w:eastAsia="Arial"/>
      <w:sz w:val="40"/>
      <w:szCs w:val="40"/>
    </w:rPr>
  </w:style>
  <w:style w:type="paragraph" w:styleId="750">
    <w:name w:val="Heading 2"/>
    <w:basedOn w:val="922"/>
    <w:next w:val="922"/>
    <w:link w:val="751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751">
    <w:name w:val="Heading 2 Char"/>
    <w:basedOn w:val="923"/>
    <w:link w:val="750"/>
    <w:uiPriority w:val="9"/>
    <w:rPr>
      <w:rFonts w:ascii="Arial" w:hAnsi="Arial" w:cs="Arial" w:eastAsia="Arial"/>
      <w:sz w:val="34"/>
    </w:rPr>
  </w:style>
  <w:style w:type="paragraph" w:styleId="752">
    <w:name w:val="Heading 3"/>
    <w:basedOn w:val="922"/>
    <w:next w:val="922"/>
    <w:link w:val="753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753">
    <w:name w:val="Heading 3 Char"/>
    <w:basedOn w:val="923"/>
    <w:link w:val="752"/>
    <w:uiPriority w:val="9"/>
    <w:rPr>
      <w:rFonts w:ascii="Arial" w:hAnsi="Arial" w:cs="Arial" w:eastAsia="Arial"/>
      <w:sz w:val="30"/>
      <w:szCs w:val="30"/>
    </w:rPr>
  </w:style>
  <w:style w:type="paragraph" w:styleId="754">
    <w:name w:val="Heading 4"/>
    <w:basedOn w:val="922"/>
    <w:next w:val="922"/>
    <w:link w:val="755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755">
    <w:name w:val="Heading 4 Char"/>
    <w:basedOn w:val="923"/>
    <w:link w:val="754"/>
    <w:uiPriority w:val="9"/>
    <w:rPr>
      <w:rFonts w:ascii="Arial" w:hAnsi="Arial" w:cs="Arial" w:eastAsia="Arial"/>
      <w:b/>
      <w:bCs/>
      <w:sz w:val="26"/>
      <w:szCs w:val="26"/>
    </w:rPr>
  </w:style>
  <w:style w:type="paragraph" w:styleId="756">
    <w:name w:val="Heading 5"/>
    <w:basedOn w:val="922"/>
    <w:next w:val="922"/>
    <w:link w:val="757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757">
    <w:name w:val="Heading 5 Char"/>
    <w:basedOn w:val="923"/>
    <w:link w:val="756"/>
    <w:uiPriority w:val="9"/>
    <w:rPr>
      <w:rFonts w:ascii="Arial" w:hAnsi="Arial" w:cs="Arial" w:eastAsia="Arial"/>
      <w:b/>
      <w:bCs/>
      <w:sz w:val="24"/>
      <w:szCs w:val="24"/>
    </w:rPr>
  </w:style>
  <w:style w:type="paragraph" w:styleId="758">
    <w:name w:val="Heading 6"/>
    <w:basedOn w:val="922"/>
    <w:next w:val="922"/>
    <w:link w:val="759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759">
    <w:name w:val="Heading 6 Char"/>
    <w:basedOn w:val="923"/>
    <w:link w:val="758"/>
    <w:uiPriority w:val="9"/>
    <w:rPr>
      <w:rFonts w:ascii="Arial" w:hAnsi="Arial" w:cs="Arial" w:eastAsia="Arial"/>
      <w:b/>
      <w:bCs/>
      <w:sz w:val="22"/>
      <w:szCs w:val="22"/>
    </w:rPr>
  </w:style>
  <w:style w:type="paragraph" w:styleId="760">
    <w:name w:val="Heading 7"/>
    <w:basedOn w:val="922"/>
    <w:next w:val="922"/>
    <w:link w:val="761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761">
    <w:name w:val="Heading 7 Char"/>
    <w:basedOn w:val="923"/>
    <w:link w:val="76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62">
    <w:name w:val="Heading 8"/>
    <w:basedOn w:val="922"/>
    <w:next w:val="922"/>
    <w:link w:val="763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763">
    <w:name w:val="Heading 8 Char"/>
    <w:basedOn w:val="923"/>
    <w:link w:val="762"/>
    <w:uiPriority w:val="9"/>
    <w:rPr>
      <w:rFonts w:ascii="Arial" w:hAnsi="Arial" w:cs="Arial" w:eastAsia="Arial"/>
      <w:i/>
      <w:iCs/>
      <w:sz w:val="22"/>
      <w:szCs w:val="22"/>
    </w:rPr>
  </w:style>
  <w:style w:type="paragraph" w:styleId="764">
    <w:name w:val="Heading 9"/>
    <w:basedOn w:val="922"/>
    <w:next w:val="922"/>
    <w:link w:val="765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765">
    <w:name w:val="Heading 9 Char"/>
    <w:basedOn w:val="923"/>
    <w:link w:val="764"/>
    <w:uiPriority w:val="9"/>
    <w:rPr>
      <w:rFonts w:ascii="Arial" w:hAnsi="Arial" w:cs="Arial" w:eastAsia="Arial"/>
      <w:i/>
      <w:iCs/>
      <w:sz w:val="21"/>
      <w:szCs w:val="21"/>
    </w:rPr>
  </w:style>
  <w:style w:type="paragraph" w:styleId="766">
    <w:name w:val="No Spacing"/>
    <w:qFormat/>
    <w:uiPriority w:val="1"/>
    <w:pPr>
      <w:spacing w:lineRule="auto" w:line="240" w:after="0" w:before="0"/>
    </w:pPr>
  </w:style>
  <w:style w:type="paragraph" w:styleId="767">
    <w:name w:val="Title"/>
    <w:basedOn w:val="922"/>
    <w:next w:val="922"/>
    <w:link w:val="768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768">
    <w:name w:val="Title Char"/>
    <w:basedOn w:val="923"/>
    <w:link w:val="767"/>
    <w:uiPriority w:val="10"/>
    <w:rPr>
      <w:sz w:val="48"/>
      <w:szCs w:val="48"/>
    </w:rPr>
  </w:style>
  <w:style w:type="paragraph" w:styleId="769">
    <w:name w:val="Subtitle"/>
    <w:basedOn w:val="922"/>
    <w:next w:val="922"/>
    <w:link w:val="770"/>
    <w:qFormat/>
    <w:uiPriority w:val="11"/>
    <w:rPr>
      <w:sz w:val="24"/>
      <w:szCs w:val="24"/>
    </w:rPr>
    <w:pPr>
      <w:spacing w:after="200" w:before="200"/>
    </w:pPr>
  </w:style>
  <w:style w:type="character" w:styleId="770">
    <w:name w:val="Subtitle Char"/>
    <w:basedOn w:val="923"/>
    <w:link w:val="769"/>
    <w:uiPriority w:val="11"/>
    <w:rPr>
      <w:sz w:val="24"/>
      <w:szCs w:val="24"/>
    </w:rPr>
  </w:style>
  <w:style w:type="paragraph" w:styleId="771">
    <w:name w:val="Quote"/>
    <w:basedOn w:val="922"/>
    <w:next w:val="922"/>
    <w:link w:val="772"/>
    <w:qFormat/>
    <w:uiPriority w:val="29"/>
    <w:rPr>
      <w:i/>
    </w:rPr>
    <w:pPr>
      <w:ind w:left="720" w:right="720"/>
    </w:pPr>
  </w:style>
  <w:style w:type="character" w:styleId="772">
    <w:name w:val="Quote Char"/>
    <w:link w:val="771"/>
    <w:uiPriority w:val="29"/>
    <w:rPr>
      <w:i/>
    </w:rPr>
  </w:style>
  <w:style w:type="paragraph" w:styleId="773">
    <w:name w:val="Intense Quote"/>
    <w:basedOn w:val="922"/>
    <w:next w:val="922"/>
    <w:link w:val="774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74">
    <w:name w:val="Intense Quote Char"/>
    <w:link w:val="773"/>
    <w:uiPriority w:val="30"/>
    <w:rPr>
      <w:i/>
    </w:rPr>
  </w:style>
  <w:style w:type="character" w:styleId="775">
    <w:name w:val="Header Char"/>
    <w:basedOn w:val="923"/>
    <w:link w:val="930"/>
    <w:uiPriority w:val="99"/>
  </w:style>
  <w:style w:type="character" w:styleId="776">
    <w:name w:val="Footer Char"/>
    <w:basedOn w:val="923"/>
    <w:link w:val="932"/>
    <w:uiPriority w:val="99"/>
  </w:style>
  <w:style w:type="paragraph" w:styleId="777">
    <w:name w:val="Caption"/>
    <w:basedOn w:val="922"/>
    <w:next w:val="922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778">
    <w:name w:val="Caption Char"/>
    <w:basedOn w:val="777"/>
    <w:link w:val="932"/>
    <w:uiPriority w:val="99"/>
  </w:style>
  <w:style w:type="table" w:styleId="779">
    <w:name w:val="Table Grid Light"/>
    <w:basedOn w:val="92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0">
    <w:name w:val="Plain Table 1"/>
    <w:basedOn w:val="92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1">
    <w:name w:val="Plain Table 2"/>
    <w:basedOn w:val="924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2">
    <w:name w:val="Plain Table 3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3">
    <w:name w:val="Plain Table 4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Plain Table 5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785">
    <w:name w:val="Grid Table 1 Light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1 Light - Accent 1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2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3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1 Light - Accent 4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Grid Table 1 Light - Accent 5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Grid Table 1 Light - Accent 6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Grid Table 2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93">
    <w:name w:val="Grid Table 2 - Accent 1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94">
    <w:name w:val="Grid Table 2 - Accent 2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95">
    <w:name w:val="Grid Table 2 - Accent 3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96">
    <w:name w:val="Grid Table 2 - Accent 4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97">
    <w:name w:val="Grid Table 2 - Accent 5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98">
    <w:name w:val="Grid Table 2 - Accent 6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99">
    <w:name w:val="Grid Table 3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00">
    <w:name w:val="Grid Table 3 - Accent 1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01">
    <w:name w:val="Grid Table 3 - Accent 2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02">
    <w:name w:val="Grid Table 3 - Accent 3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03">
    <w:name w:val="Grid Table 3 - Accent 4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04">
    <w:name w:val="Grid Table 3 - Accent 5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05">
    <w:name w:val="Grid Table 3 - Accent 6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06">
    <w:name w:val="Grid Table 4"/>
    <w:basedOn w:val="9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807">
    <w:name w:val="Grid Table 4 - Accent 1"/>
    <w:basedOn w:val="9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808">
    <w:name w:val="Grid Table 4 - Accent 2"/>
    <w:basedOn w:val="9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809">
    <w:name w:val="Grid Table 4 - Accent 3"/>
    <w:basedOn w:val="9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810">
    <w:name w:val="Grid Table 4 - Accent 4"/>
    <w:basedOn w:val="9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811">
    <w:name w:val="Grid Table 4 - Accent 5"/>
    <w:basedOn w:val="9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12">
    <w:name w:val="Grid Table 4 - Accent 6"/>
    <w:basedOn w:val="9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3">
    <w:name w:val="Grid Table 5 Dark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14">
    <w:name w:val="Grid Table 5 Dark- Accent 1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15">
    <w:name w:val="Grid Table 5 Dark - Accent 2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16">
    <w:name w:val="Grid Table 5 Dark - Accent 3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17">
    <w:name w:val="Grid Table 5 Dark- Accent 4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18">
    <w:name w:val="Grid Table 5 Dark - Accent 5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19">
    <w:name w:val="Grid Table 5 Dark - Accent 6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20">
    <w:name w:val="Grid Table 6 Colorful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1">
    <w:name w:val="Grid Table 6 Colorful - Accent 1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2">
    <w:name w:val="Grid Table 6 Colorful - Accent 2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3">
    <w:name w:val="Grid Table 6 Colorful - Accent 3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4">
    <w:name w:val="Grid Table 6 Colorful - Accent 4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5">
    <w:name w:val="Grid Table 6 Colorful - Accent 5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6">
    <w:name w:val="Grid Table 6 Colorful - Accent 6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7">
    <w:name w:val="Grid Table 7 Colorful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828">
    <w:name w:val="Grid Table 7 Colorful - Accent 1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829">
    <w:name w:val="Grid Table 7 Colorful - Accent 2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30">
    <w:name w:val="Grid Table 7 Colorful - Accent 3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31">
    <w:name w:val="Grid Table 7 Colorful - Accent 4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32">
    <w:name w:val="Grid Table 7 Colorful - Accent 5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833">
    <w:name w:val="Grid Table 7 Colorful - Accent 6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834">
    <w:name w:val="List Table 1 Light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835">
    <w:name w:val="List Table 1 Light - Accent 1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836">
    <w:name w:val="List Table 1 Light - Accent 2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837">
    <w:name w:val="List Table 1 Light - Accent 3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838">
    <w:name w:val="List Table 1 Light - Accent 4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839">
    <w:name w:val="List Table 1 Light - Accent 5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40">
    <w:name w:val="List Table 1 Light - Accent 6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41">
    <w:name w:val="List Table 2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842">
    <w:name w:val="List Table 2 - Accent 1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843">
    <w:name w:val="List Table 2 - Accent 2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844">
    <w:name w:val="List Table 2 - Accent 3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845">
    <w:name w:val="List Table 2 - Accent 4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846">
    <w:name w:val="List Table 2 - Accent 5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847">
    <w:name w:val="List Table 2 - Accent 6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848">
    <w:name w:val="List Table 3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3 - Accent 1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2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3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3 - Accent 4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3 - Accent 5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3 - Accent 6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 - Accent 1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2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3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4 - Accent 4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4 - Accent 5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4 - Accent 6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5 Dark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3">
    <w:name w:val="List Table 5 Dark - Accent 1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4">
    <w:name w:val="List Table 5 Dark - Accent 2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5">
    <w:name w:val="List Table 5 Dark - Accent 3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6">
    <w:name w:val="List Table 5 Dark - Accent 4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7">
    <w:name w:val="List Table 5 Dark - Accent 5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8">
    <w:name w:val="List Table 5 Dark - Accent 6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9">
    <w:name w:val="List Table 6 Colorful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870">
    <w:name w:val="List Table 6 Colorful - Accent 1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871">
    <w:name w:val="List Table 6 Colorful - Accent 2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872">
    <w:name w:val="List Table 6 Colorful - Accent 3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873">
    <w:name w:val="List Table 6 Colorful - Accent 4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874">
    <w:name w:val="List Table 6 Colorful - Accent 5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875">
    <w:name w:val="List Table 6 Colorful - Accent 6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876">
    <w:name w:val="List Table 7 Colorful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7">
    <w:name w:val="List Table 7 Colorful - Accent 1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78">
    <w:name w:val="List Table 7 Colorful - Accent 2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79">
    <w:name w:val="List Table 7 Colorful - Accent 3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80">
    <w:name w:val="List Table 7 Colorful - Accent 4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81">
    <w:name w:val="List Table 7 Colorful - Accent 5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82">
    <w:name w:val="List Table 7 Colorful - Accent 6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83">
    <w:name w:val="Lined - Accent"/>
    <w:basedOn w:val="9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884">
    <w:name w:val="Lined - Accent 1"/>
    <w:basedOn w:val="9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885">
    <w:name w:val="Lined - Accent 2"/>
    <w:basedOn w:val="9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886">
    <w:name w:val="Lined - Accent 3"/>
    <w:basedOn w:val="9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887">
    <w:name w:val="Lined - Accent 4"/>
    <w:basedOn w:val="9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888">
    <w:name w:val="Lined - Accent 5"/>
    <w:basedOn w:val="9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889">
    <w:name w:val="Lined - Accent 6"/>
    <w:basedOn w:val="9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890">
    <w:name w:val="Bordered &amp; Lined - Accent"/>
    <w:basedOn w:val="9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891">
    <w:name w:val="Bordered &amp; Lined - Accent 1"/>
    <w:basedOn w:val="9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892">
    <w:name w:val="Bordered &amp; Lined - Accent 2"/>
    <w:basedOn w:val="9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893">
    <w:name w:val="Bordered &amp; Lined - Accent 3"/>
    <w:basedOn w:val="9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894">
    <w:name w:val="Bordered &amp; Lined - Accent 4"/>
    <w:basedOn w:val="9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895">
    <w:name w:val="Bordered &amp; Lined - Accent 5"/>
    <w:basedOn w:val="9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896">
    <w:name w:val="Bordered &amp; Lined - Accent 6"/>
    <w:basedOn w:val="9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897">
    <w:name w:val="Bordered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898">
    <w:name w:val="Bordered - Accent 1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899">
    <w:name w:val="Bordered - Accent 2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900">
    <w:name w:val="Bordered - Accent 3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901">
    <w:name w:val="Bordered - Accent 4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902">
    <w:name w:val="Bordered - Accent 5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903">
    <w:name w:val="Bordered - Accent 6"/>
    <w:basedOn w:val="9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904">
    <w:name w:val="Hyperlink"/>
    <w:uiPriority w:val="99"/>
    <w:unhideWhenUsed/>
    <w:rPr>
      <w:color w:val="0000FF" w:themeColor="hyperlink"/>
      <w:u w:val="single"/>
    </w:rPr>
  </w:style>
  <w:style w:type="paragraph" w:styleId="905">
    <w:name w:val="footnote text"/>
    <w:basedOn w:val="922"/>
    <w:link w:val="906"/>
    <w:uiPriority w:val="99"/>
    <w:semiHidden/>
    <w:unhideWhenUsed/>
    <w:rPr>
      <w:sz w:val="18"/>
    </w:rPr>
    <w:pPr>
      <w:spacing w:lineRule="auto" w:line="240" w:after="40"/>
    </w:pPr>
  </w:style>
  <w:style w:type="character" w:styleId="906">
    <w:name w:val="Footnote Text Char"/>
    <w:link w:val="905"/>
    <w:uiPriority w:val="99"/>
    <w:rPr>
      <w:sz w:val="18"/>
    </w:rPr>
  </w:style>
  <w:style w:type="character" w:styleId="907">
    <w:name w:val="footnote reference"/>
    <w:basedOn w:val="923"/>
    <w:uiPriority w:val="99"/>
    <w:unhideWhenUsed/>
    <w:rPr>
      <w:vertAlign w:val="superscript"/>
    </w:rPr>
  </w:style>
  <w:style w:type="paragraph" w:styleId="908">
    <w:name w:val="endnote text"/>
    <w:basedOn w:val="922"/>
    <w:link w:val="909"/>
    <w:uiPriority w:val="99"/>
    <w:semiHidden/>
    <w:unhideWhenUsed/>
    <w:rPr>
      <w:sz w:val="20"/>
    </w:rPr>
    <w:pPr>
      <w:spacing w:lineRule="auto" w:line="240" w:after="0"/>
    </w:pPr>
  </w:style>
  <w:style w:type="character" w:styleId="909">
    <w:name w:val="Endnote Text Char"/>
    <w:link w:val="908"/>
    <w:uiPriority w:val="99"/>
    <w:rPr>
      <w:sz w:val="20"/>
    </w:rPr>
  </w:style>
  <w:style w:type="character" w:styleId="910">
    <w:name w:val="endnote reference"/>
    <w:basedOn w:val="923"/>
    <w:uiPriority w:val="99"/>
    <w:semiHidden/>
    <w:unhideWhenUsed/>
    <w:rPr>
      <w:vertAlign w:val="superscript"/>
    </w:rPr>
  </w:style>
  <w:style w:type="paragraph" w:styleId="911">
    <w:name w:val="toc 1"/>
    <w:basedOn w:val="922"/>
    <w:next w:val="922"/>
    <w:uiPriority w:val="39"/>
    <w:unhideWhenUsed/>
    <w:pPr>
      <w:ind w:left="0" w:right="0" w:firstLine="0"/>
      <w:spacing w:after="57"/>
    </w:pPr>
  </w:style>
  <w:style w:type="paragraph" w:styleId="912">
    <w:name w:val="toc 2"/>
    <w:basedOn w:val="922"/>
    <w:next w:val="922"/>
    <w:uiPriority w:val="39"/>
    <w:unhideWhenUsed/>
    <w:pPr>
      <w:ind w:left="283" w:right="0" w:firstLine="0"/>
      <w:spacing w:after="57"/>
    </w:pPr>
  </w:style>
  <w:style w:type="paragraph" w:styleId="913">
    <w:name w:val="toc 3"/>
    <w:basedOn w:val="922"/>
    <w:next w:val="922"/>
    <w:uiPriority w:val="39"/>
    <w:unhideWhenUsed/>
    <w:pPr>
      <w:ind w:left="567" w:right="0" w:firstLine="0"/>
      <w:spacing w:after="57"/>
    </w:pPr>
  </w:style>
  <w:style w:type="paragraph" w:styleId="914">
    <w:name w:val="toc 4"/>
    <w:basedOn w:val="922"/>
    <w:next w:val="922"/>
    <w:uiPriority w:val="39"/>
    <w:unhideWhenUsed/>
    <w:pPr>
      <w:ind w:left="850" w:right="0" w:firstLine="0"/>
      <w:spacing w:after="57"/>
    </w:pPr>
  </w:style>
  <w:style w:type="paragraph" w:styleId="915">
    <w:name w:val="toc 5"/>
    <w:basedOn w:val="922"/>
    <w:next w:val="922"/>
    <w:uiPriority w:val="39"/>
    <w:unhideWhenUsed/>
    <w:pPr>
      <w:ind w:left="1134" w:right="0" w:firstLine="0"/>
      <w:spacing w:after="57"/>
    </w:pPr>
  </w:style>
  <w:style w:type="paragraph" w:styleId="916">
    <w:name w:val="toc 6"/>
    <w:basedOn w:val="922"/>
    <w:next w:val="922"/>
    <w:uiPriority w:val="39"/>
    <w:unhideWhenUsed/>
    <w:pPr>
      <w:ind w:left="1417" w:right="0" w:firstLine="0"/>
      <w:spacing w:after="57"/>
    </w:pPr>
  </w:style>
  <w:style w:type="paragraph" w:styleId="917">
    <w:name w:val="toc 7"/>
    <w:basedOn w:val="922"/>
    <w:next w:val="922"/>
    <w:uiPriority w:val="39"/>
    <w:unhideWhenUsed/>
    <w:pPr>
      <w:ind w:left="1701" w:right="0" w:firstLine="0"/>
      <w:spacing w:after="57"/>
    </w:pPr>
  </w:style>
  <w:style w:type="paragraph" w:styleId="918">
    <w:name w:val="toc 8"/>
    <w:basedOn w:val="922"/>
    <w:next w:val="922"/>
    <w:uiPriority w:val="39"/>
    <w:unhideWhenUsed/>
    <w:pPr>
      <w:ind w:left="1984" w:right="0" w:firstLine="0"/>
      <w:spacing w:after="57"/>
    </w:pPr>
  </w:style>
  <w:style w:type="paragraph" w:styleId="919">
    <w:name w:val="toc 9"/>
    <w:basedOn w:val="922"/>
    <w:next w:val="922"/>
    <w:uiPriority w:val="39"/>
    <w:unhideWhenUsed/>
    <w:pPr>
      <w:ind w:left="2268" w:right="0" w:firstLine="0"/>
      <w:spacing w:after="57"/>
    </w:pPr>
  </w:style>
  <w:style w:type="paragraph" w:styleId="920">
    <w:name w:val="TOC Heading"/>
    <w:uiPriority w:val="39"/>
    <w:unhideWhenUsed/>
  </w:style>
  <w:style w:type="paragraph" w:styleId="921">
    <w:name w:val="table of figures"/>
    <w:basedOn w:val="922"/>
    <w:next w:val="922"/>
    <w:uiPriority w:val="99"/>
    <w:unhideWhenUsed/>
    <w:pPr>
      <w:spacing w:after="0" w:afterAutospacing="0"/>
    </w:pPr>
  </w:style>
  <w:style w:type="paragraph" w:styleId="922" w:default="1">
    <w:name w:val="Normal"/>
    <w:qFormat/>
  </w:style>
  <w:style w:type="character" w:styleId="923" w:default="1">
    <w:name w:val="Default Paragraph Font"/>
    <w:uiPriority w:val="1"/>
    <w:semiHidden/>
    <w:unhideWhenUsed/>
  </w:style>
  <w:style w:type="table" w:styleId="92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5" w:default="1">
    <w:name w:val="No List"/>
    <w:uiPriority w:val="99"/>
    <w:semiHidden/>
    <w:unhideWhenUsed/>
  </w:style>
  <w:style w:type="paragraph" w:styleId="926">
    <w:name w:val="List Paragraph"/>
    <w:basedOn w:val="922"/>
    <w:qFormat/>
    <w:uiPriority w:val="34"/>
    <w:pPr>
      <w:contextualSpacing w:val="true"/>
      <w:ind w:left="720"/>
    </w:pPr>
  </w:style>
  <w:style w:type="table" w:styleId="927">
    <w:name w:val="Table Grid"/>
    <w:basedOn w:val="924"/>
    <w:uiPriority w:val="3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28" w:customStyle="1">
    <w:name w:val="c13"/>
    <w:basedOn w:val="923"/>
  </w:style>
  <w:style w:type="character" w:styleId="929" w:customStyle="1">
    <w:name w:val="c11"/>
    <w:basedOn w:val="923"/>
  </w:style>
  <w:style w:type="paragraph" w:styleId="930">
    <w:name w:val="Header"/>
    <w:basedOn w:val="922"/>
    <w:link w:val="931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931" w:customStyle="1">
    <w:name w:val="Верхний колонтитул Знак"/>
    <w:basedOn w:val="923"/>
    <w:link w:val="930"/>
    <w:uiPriority w:val="99"/>
  </w:style>
  <w:style w:type="paragraph" w:styleId="932">
    <w:name w:val="Footer"/>
    <w:basedOn w:val="922"/>
    <w:link w:val="933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933" w:customStyle="1">
    <w:name w:val="Нижний колонтитул Знак"/>
    <w:basedOn w:val="923"/>
    <w:link w:val="932"/>
    <w:uiPriority w:val="99"/>
  </w:style>
  <w:style w:type="character" w:styleId="934" w:customStyle="1">
    <w:name w:val="normaltextrun"/>
    <w:basedOn w:val="923"/>
  </w:style>
  <w:style w:type="character" w:styleId="935" w:customStyle="1">
    <w:name w:val="eop"/>
    <w:basedOn w:val="923"/>
  </w:style>
  <w:style w:type="paragraph" w:styleId="936" w:customStyle="1">
    <w:name w:val="paragraph"/>
    <w:basedOn w:val="922"/>
    <w:rPr>
      <w:rFonts w:ascii="Times New Roman" w:hAnsi="Times New Roman" w:cs="Times New Roman" w:eastAsia="Times New Roman"/>
      <w:sz w:val="24"/>
      <w:szCs w:val="24"/>
      <w:lang w:eastAsia="ru-RU"/>
    </w:rPr>
    <w:pPr>
      <w:spacing w:lineRule="auto" w:line="240" w:after="100" w:afterAutospacing="1" w:before="100" w:beforeAutospacing="1"/>
    </w:pPr>
  </w:style>
  <w:style w:type="paragraph" w:styleId="937">
    <w:name w:val="Normal (Web)"/>
    <w:basedOn w:val="922"/>
    <w:uiPriority w:val="99"/>
    <w:unhideWhenUsed/>
    <w:rPr>
      <w:rFonts w:ascii="Times New Roman" w:hAnsi="Times New Roman" w:cs="Times New Roman" w:eastAsia="Times New Roman"/>
      <w:sz w:val="24"/>
      <w:szCs w:val="24"/>
      <w:lang w:eastAsia="ru-RU"/>
    </w:rPr>
    <w:pPr>
      <w:spacing w:lineRule="auto" w:line="240" w:after="100" w:afterAutospacing="1" w:before="100" w:beforeAutospacing="1"/>
    </w:pPr>
  </w:style>
  <w:style w:type="character" w:styleId="938" w:customStyle="1">
    <w:name w:val="scxp115227598"/>
    <w:basedOn w:val="923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78514A40-14FF-4486-B173-F922A95DA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Р7-Офис/6.3.1.70</Application>
  <Company>Microsoft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revision>6</cp:revision>
  <dcterms:created xsi:type="dcterms:W3CDTF">2021-04-05T02:38:00Z</dcterms:created>
  <dcterms:modified xsi:type="dcterms:W3CDTF">2023-06-01T09:34:01Z</dcterms:modified>
</cp:coreProperties>
</file>